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color w:val="000000"/>
          <w:sz w:val="72"/>
          <w:highlight w:val="none"/>
        </w:rPr>
        <w:t xml:space="preserve">苏 州 市 政 府 采 购</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竞争性磋商采购文件</w:t>
      </w:r>
      <w:r/>
    </w:p>
    <w:p>
      <w:pPr>
        <w:ind w:left="0" w:right="0" w:firstLine="0"/>
        <w:jc w:val="center"/>
        <w:spacing w:before="0" w:after="0"/>
        <w:tabs>
          <w:tab w:val="left" w:pos="759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p>
    <w:p>
      <w:pPr>
        <w:ind w:left="1040" w:right="0" w:firstLine="928"/>
        <w:jc w:val="both"/>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采购编号：</w:t>
      </w:r>
      <w:r>
        <w:rPr>
          <w:rFonts w:hint="eastAsia" w:ascii="宋体" w:hAnsi="宋体" w:eastAsia="宋体" w:cs="宋体"/>
          <w:b/>
          <w:color w:val="000000"/>
          <w:spacing w:val="-6"/>
          <w:sz w:val="32"/>
          <w:highlight w:val="none"/>
          <w:lang w:eastAsia="zh-CN"/>
        </w:rPr>
        <w:t xml:space="preserve">JSZC-320500-RHHH-C2026-0025</w:t>
      </w:r>
      <w:r/>
    </w:p>
    <w:p>
      <w:pPr>
        <w:ind w:left="1040" w:right="0" w:firstLine="92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 购 人：苏州革命博物馆</w:t>
      </w:r>
      <w:r/>
    </w:p>
    <w:p>
      <w:pPr>
        <w:ind w:left="1040" w:right="0" w:firstLine="92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采购内容：党性教育实训基地运营管理项目</w:t>
      </w:r>
      <w:r/>
    </w:p>
    <w:p>
      <w:pPr>
        <w:ind w:left="1040" w:right="0" w:firstLine="92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采购类别：服务类</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447800" cy="1276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9"/>
                        <a:stretch/>
                      </pic:blipFill>
                      <pic:spPr bwMode="auto">
                        <a:xfrm>
                          <a:off x="0" y="0"/>
                          <a:ext cx="1447799" cy="1276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4.0pt;height:100.5pt;mso-wrap-distance-left:0.0pt;mso-wrap-distance-top:0.0pt;mso-wrap-distance-right:0.0pt;mso-wrap-distance-bottom:0.0pt;" stroked="false">
                <v:path textboxrect="0,0,0,0"/>
                <v:imagedata r:id="rId9" o:title=""/>
              </v:shape>
            </w:pict>
          </mc:Fallback>
        </mc:AlternateContent>
      </w:r>
      <w:r>
        <w:rPr>
          <w:rFonts w:ascii="宋体" w:hAnsi="宋体" w:eastAsia="宋体" w:cs="宋体"/>
          <w:b/>
          <w:color w:val="000000"/>
          <w:sz w:val="2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 </w:t>
      </w:r>
      <w:r/>
    </w:p>
    <w:p>
      <w:pPr>
        <w:ind w:left="420" w:right="0" w:firstLine="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江苏仁禾中衡工程咨询房地产估价有限公司</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二○二六年四月</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前附表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8473"/>
      </w:tblGrid>
      <w:tr>
        <w:trPr>
          <w:trHeight w:val="4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内容规定</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采购内容：党性教育实训基地运营管理项目</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投标（响应）文件有效期：自投标（响应）截止日起</w:t>
            </w:r>
            <w:r>
              <w:rPr>
                <w:rFonts w:ascii="宋体" w:hAnsi="宋体" w:eastAsia="宋体" w:cs="宋体"/>
                <w:b/>
                <w:color w:val="000000"/>
                <w:sz w:val="24"/>
                <w:highlight w:val="none"/>
              </w:rPr>
              <w:t xml:space="preserve">九十天（日历日）</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投标（磋商）保证金：无</w:t>
            </w:r>
            <w:r/>
          </w:p>
        </w:tc>
      </w:tr>
      <w:tr>
        <w:trPr>
          <w:trHeight w:val="8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w:t>
            </w:r>
            <w:r>
              <w:rPr>
                <w:rFonts w:ascii="宋体" w:hAnsi="宋体" w:eastAsia="宋体" w:cs="宋体"/>
                <w:b/>
                <w:color w:val="000000"/>
                <w:sz w:val="24"/>
                <w:highlight w:val="none"/>
              </w:rPr>
              <w:t xml:space="preserve">本项目采用网上提交电子投标（响应）文件，不接受纸质投标（响应）文件。</w:t>
            </w:r>
            <w:r/>
          </w:p>
        </w:tc>
      </w:tr>
      <w:tr>
        <w:trPr>
          <w:trHeight w:val="2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投标（响应）文件提交：</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w:t>
            </w:r>
            <w:r>
              <w:rPr>
                <w:rFonts w:ascii="宋体" w:hAnsi="宋体" w:eastAsia="宋体" w:cs="宋体"/>
                <w:color w:val="000000"/>
                <w:sz w:val="26"/>
                <w:highlight w:val="none"/>
              </w:rPr>
              <w:t xml:space="preserve">2026年5月7日</w:t>
            </w:r>
            <w:r>
              <w:rPr>
                <w:rFonts w:ascii="宋体" w:hAnsi="宋体" w:eastAsia="宋体" w:cs="宋体"/>
                <w:color w:val="000000"/>
                <w:sz w:val="24"/>
                <w:highlight w:val="none"/>
              </w:rPr>
              <w:t xml:space="preserve">9点30分（北京时间）</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开启时间：</w:t>
            </w:r>
            <w:r>
              <w:rPr>
                <w:rFonts w:ascii="宋体" w:hAnsi="宋体" w:eastAsia="宋体" w:cs="宋体"/>
                <w:color w:val="000000"/>
                <w:sz w:val="26"/>
                <w:highlight w:val="none"/>
              </w:rPr>
              <w:t xml:space="preserve">2026年5月7日</w:t>
            </w:r>
            <w:r>
              <w:rPr>
                <w:rFonts w:ascii="宋体" w:hAnsi="宋体" w:eastAsia="宋体" w:cs="宋体"/>
                <w:color w:val="000000"/>
                <w:sz w:val="24"/>
                <w:highlight w:val="none"/>
              </w:rPr>
              <w:t xml:space="preserve">9点30分（北京时间）</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w:t>
            </w:r>
            <w:r>
              <w:fldChar w:fldCharType="begin"/>
            </w:r>
            <w:r>
              <w:instrText xml:space="preserve"> HYPERLINK "http://jszfcg.jsczt.cn/" \o "http://jszfcg.jsczt.cn/" </w:instrText>
            </w:r>
            <w:r>
              <w:fldChar w:fldCharType="separate"/>
            </w:r>
            <w:r>
              <w:rPr>
                <w:rStyle w:val="667"/>
                <w:rFonts w:ascii="宋体" w:hAnsi="宋体" w:eastAsia="宋体" w:cs="宋体"/>
                <w:color w:val="0000ee"/>
                <w:sz w:val="24"/>
                <w:highlight w:val="none"/>
                <w:u w:val="none"/>
              </w:rPr>
              <w:t xml:space="preserve">http://jszfcg.jsczt.cn/</w:t>
            </w:r>
            <w:r>
              <w:rPr>
                <w:rStyle w:val="667"/>
                <w:rFonts w:ascii="宋体" w:hAnsi="宋体" w:eastAsia="宋体" w:cs="宋体"/>
                <w:color w:val="0000ee"/>
                <w:sz w:val="24"/>
                <w:highlight w:val="none"/>
                <w:u w:val="none"/>
              </w:rPr>
              <w:fldChar w:fldCharType="end"/>
            </w:r>
            <w:r>
              <w:rPr>
                <w:rFonts w:ascii="宋体" w:hAnsi="宋体" w:eastAsia="宋体" w:cs="宋体"/>
                <w:color w:val="000000"/>
                <w:sz w:val="24"/>
                <w:highlight w:val="none"/>
              </w:rPr>
              <w:t xml:space="preserve">）</w:t>
            </w:r>
            <w:r/>
          </w:p>
          <w:p>
            <w:pPr>
              <w:ind w:left="0" w:right="0" w:firstLine="0"/>
              <w:jc w:val="center"/>
              <w:spacing w:before="210" w:after="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本项目为不见面开标项目，开标阶段供应商在【供应商解密】环节必须使用CA证书解密电子投标（响应）文件，如在“苏采云”系统规定的时间内未能成功解密的视为放弃参与本项目。</w:t>
            </w:r>
            <w:r/>
          </w:p>
        </w:tc>
      </w:tr>
      <w:tr>
        <w:trPr>
          <w:trHeight w:val="1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不需提交，采购文件中有关履约保证金的规定均不适用。</w:t>
            </w:r>
            <w:r/>
          </w:p>
        </w:tc>
      </w:tr>
      <w:tr>
        <w:trPr>
          <w:trHeight w:val="2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代理服务费收费标准：代理服务费收费按以下标准的收取：</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代理服务费金额：人民币叁仟元整（￥3,000.00元）</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账户名：江苏仁禾中衡工程咨询房地产估价有限公司苏州分公司</w:t>
            </w:r>
            <w:r/>
          </w:p>
          <w:p>
            <w:pPr>
              <w:ind w:left="0" w:right="0" w:firstLine="0"/>
              <w:jc w:val="center"/>
              <w:spacing w:before="0" w:after="0" w:line="240" w:lineRule="auto"/>
              <w:tabs>
                <w:tab w:val="left" w:pos="8930" w:leader="none"/>
                <w:tab w:val="left" w:pos="930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号：75010122001312750</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开户行：宁波银行苏州分行</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政府采购监督电话：0512-68616651</w:t>
            </w:r>
            <w:r/>
          </w:p>
        </w:tc>
      </w:tr>
    </w:tbl>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8"/>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总目录</w:t>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第一章 采购公告</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第二章 供应商须知</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第三章 投标（响应）文件格式</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第四章 采购内容</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第五章 合同主要条款</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第六章 评审办法</w:t>
      </w:r>
      <w:r>
        <w:rPr>
          <w:rFonts w:ascii="楷体" w:hAnsi="楷体" w:eastAsia="楷体" w:cs="楷体"/>
          <w:color w:val="000000"/>
          <w:sz w:val="26"/>
          <w:highlight w:val="none"/>
        </w:rPr>
        <w:tab/>
      </w:r>
      <w:r/>
    </w:p>
    <w:p>
      <w:pPr>
        <w:ind w:left="0" w:right="0" w:firstLine="0"/>
        <w:jc w:val="both"/>
        <w:spacing w:before="260" w:after="57"/>
        <w:tabs>
          <w:tab w:val="left" w:pos="962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第七章 附件</w:t>
      </w:r>
      <w:r>
        <w:rPr>
          <w:rFonts w:ascii="楷体" w:hAnsi="楷体" w:eastAsia="楷体" w:cs="楷体"/>
          <w:color w:val="000000"/>
          <w:sz w:val="26"/>
          <w:highlight w:val="none"/>
        </w:rPr>
        <w:tab/>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第一章 采购公告</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党性教育实训基地运营管理项目</w:t>
      </w:r>
      <w:r>
        <w:rPr>
          <w:rFonts w:hint="eastAsia" w:ascii="宋体" w:hAnsi="宋体" w:eastAsia="宋体" w:cs="宋体"/>
          <w:color w:val="000000"/>
          <w:sz w:val="24"/>
          <w:highlight w:val="none"/>
          <w:lang w:eastAsia="zh-CN"/>
        </w:rPr>
        <w:t xml:space="preserve">JSZC-320500-RHHH-C2026-0025</w:t>
      </w:r>
      <w:r>
        <w:rPr>
          <w:rFonts w:ascii="宋体" w:hAnsi="宋体" w:eastAsia="宋体" w:cs="宋体"/>
          <w:color w:val="000000"/>
          <w:sz w:val="24"/>
          <w:highlight w:val="none"/>
        </w:rPr>
        <w:t xml:space="preserve">的潜在供应商应在江苏省政府采购一体化平台“苏采云”系统自行免费下载招标（采购）文件，并于2026年5月7日9点30分（北京时间）前递交投标（响应）文件。</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p>
    <w:p>
      <w:pPr>
        <w:ind w:left="0" w:right="0" w:firstLine="480"/>
        <w:jc w:val="both"/>
        <w:spacing w:before="240" w:after="240" w:line="85" w:lineRule="atLeast"/>
        <w:shd w:val="clear" w:color="ffffff" w:fill="ffff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JSZC-320500-RHHH-C2026-0025</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项目名称：党性教育实训基地运营管理项目</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采购方式：竞争性磋商</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人民币（大写）：贰佰壹拾万元整</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人民币（小写）：￥2,100,000.00元</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人民币（大写）：贰佰壹拾万元整</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人民币（小写）：￥2,100,000.00元</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采购需求：详见第四章 采购内容。</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合同履行期限：合同签订之日起一年。</w:t>
      </w:r>
      <w:r/>
    </w:p>
    <w:p>
      <w:pPr>
        <w:ind w:left="0" w:right="0" w:firstLine="482"/>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本项目（是/否）接受联合体：否</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二、申请人的资格要求</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（一）满足《中华人民共和国政府采购法》第二十二条规定：</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（二）落实政府采购政策需满足的资格要求：</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的相关规定，本项目专门面向中小企业采购（供应商必须为中小微企业或残疾人福利性单位或监狱企业，并在响应文件中提供相关声明函或监狱企业证明文件，否则为无效投标），所属行业为其他未列明行业。</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（三）本项目的特定资格要求：</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1、未被“信用中国”网站（</w:t>
      </w:r>
      <w:r>
        <w:fldChar w:fldCharType="begin"/>
      </w:r>
      <w:r>
        <w:instrText xml:space="preserve"> HYPERLINK "https://www.creditchina.gov.cn/" \o "https://www.creditchina.gov.cn/" </w:instrText>
      </w:r>
      <w:r>
        <w:fldChar w:fldCharType="separate"/>
      </w:r>
      <w:r>
        <w:rPr>
          <w:rStyle w:val="667"/>
          <w:rFonts w:ascii="宋体" w:hAnsi="宋体" w:eastAsia="宋体" w:cs="宋体"/>
          <w:color w:val="0000ee"/>
          <w:sz w:val="24"/>
          <w:highlight w:val="none"/>
          <w:u w:val="single"/>
        </w:rPr>
        <w:t xml:space="preserve">www.creditchina.gov.cn</w:t>
      </w:r>
      <w:r>
        <w:rPr>
          <w:rStyle w:val="667"/>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）列入失信被执行人、重大税收违法案件当事人名单、政府采购严重失信行为记录名单。</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2、</w:t>
      </w:r>
      <w:r>
        <w:rPr>
          <w:rFonts w:ascii="宋体" w:hAnsi="宋体" w:eastAsia="宋体" w:cs="宋体"/>
          <w:color w:val="000000"/>
          <w:sz w:val="24"/>
          <w:highlight w:val="none"/>
        </w:rPr>
        <w:t xml:space="preserve">单位负责人为同一人或者存在直接控股、管理关系的不同供应商，不得参加同一合同项下的采购活动。</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三、获取采购文件</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时间：自采购文件公告发布之日起5个工作日</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地点：江苏省政府采购一体化平台“苏采云”系统</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四、响应文件提交</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截止时间：2026年5月7日上午9:30（北京时间）</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五、开启</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时间：2026年5月7日上午9:30（北京时间）</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六、公告期限</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七、其他补充事宜</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1.根据苏州市财政局《关于深入开展苏州市政府采购合同信用融资业务的通知》相关要求，本项目支持政府采购合同信用融资。</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2、线上获取方式：</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（1）CA证书办理</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333333"/>
          <w:sz w:val="24"/>
          <w:highlight w:val="none"/>
        </w:rPr>
        <w:t xml:space="preserve">苏州现场办理地址：苏州市高新区邓尉路105号狮山科技馆1楼大厅。</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（2）参与采购活动</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考虑到熟悉“苏采云”系统、办理CA证书都需要一定的时间，请提早准备以免耽误招标采购活动。</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（3）电子投标准备</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333333"/>
          <w:sz w:val="24"/>
          <w:highlight w:val="none"/>
        </w:rPr>
        <w:t xml:space="preserve">（具体详见《苏采云系统供应商操作手册》，网址链接https://czju.suzhou.gov.cn/zfcg/html/content/20231220161910031.shtml）</w:t>
      </w:r>
      <w:r>
        <w:rPr>
          <w:rFonts w:ascii="宋体" w:hAnsi="宋体" w:eastAsia="宋体" w:cs="宋体"/>
          <w:color w:val="333333"/>
          <w:sz w:val="24"/>
          <w:highlight w:val="none"/>
        </w:rPr>
        <w:t xml:space="preserve">。</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在系统操作过程中如有疑问，请按以下方式联系：</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注册咨询：13914088964；</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CA技术咨询电话：400-608-6099；</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签章使用问题：025-83633811、025-83633812、15380932027、15371015030；</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系统使用指导与咨询：联系电话：13914088964、0512-69820854；智能客服：登录苏采云系统后，联系系统右下方智能客服图标进行咨询。</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3、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4、本项目为不见面开标项目，开标阶段供应商在【供应商解密】环节必须使用 CA证书解密电子投标（响应）文件，如在系统规定的解密时间内未能完成解密的视为放弃投标（响应）。</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请供应商确保电脑、系统及其他设备（视频输入输出设备等）无误，且开标直至项目结束始终保持系统在线状态。</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6、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7、本项目获取招标文件截止日期之后仍可以下载招标文件，但截止日期之后下载的招标文件,视为非有效方式且不作为供应商权益受到损害的证明材料和依据。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8、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9、政府采购监督电话：</w:t>
      </w:r>
      <w:r>
        <w:rPr>
          <w:rFonts w:ascii="宋体" w:hAnsi="宋体" w:eastAsia="宋体" w:cs="宋体"/>
          <w:color w:val="000000"/>
          <w:sz w:val="24"/>
          <w:highlight w:val="none"/>
        </w:rPr>
        <w:t xml:space="preserve">0512-68616651。</w:t>
      </w:r>
      <w:r/>
    </w:p>
    <w:p>
      <w:pPr>
        <w:ind w:left="0" w:right="0" w:firstLine="48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none"/>
        </w:rPr>
        <w:t xml:space="preserve">10、本次采购的有关信息将在苏州市政府采购网、江苏政府采购网上发布，敬请留意！</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pStyle w:val="638"/>
        <w:ind w:left="0" w:right="0" w:firstLine="482"/>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八、凡对本次采购提出询问，请按以下方式联系</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单位名称：苏州革命博物馆</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单位地址：苏州市姑苏区三香路1216号</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 朱天培</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联系电话：0512-68265945</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单位名称：江苏仁禾中衡工程咨询房地产估价有限公司</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单位地址：苏州市工业园区苏桐路37号2号楼5楼502室</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联系人：王雯婧、厉昆、杨佳怡</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联系电话：0512-65261203-8008</w:t>
      </w:r>
      <w:r/>
    </w:p>
    <w:p>
      <w:pPr>
        <w:ind w:left="0" w:right="0" w:firstLine="48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项目联系人：王雯婧、厉昆、杨佳怡</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电话：0512-65261203-8008</w:t>
      </w:r>
      <w:r/>
    </w:p>
    <w:p>
      <w:pPr>
        <w:ind w:left="0" w:right="0" w:firstLine="7629"/>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2026年4月20日</w:t>
      </w:r>
      <w:r/>
    </w:p>
    <w:p>
      <w:pPr>
        <w:ind w:left="0" w:right="0" w:firstLine="480"/>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江苏仁禾中衡工程咨询房地产估价有限公司</w:t>
      </w:r>
      <w:r/>
    </w:p>
    <w:p>
      <w:pPr>
        <w:ind w:left="0" w:right="0" w:firstLine="762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pStyle w:val="637"/>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u w:val="none"/>
        </w:rPr>
        <w:t xml:space="preserve"> </w:t>
      </w:r>
      <w:r/>
    </w:p>
    <w:p>
      <w:pPr>
        <w:pStyle w:val="637"/>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 </w:t>
      </w:r>
      <w:r/>
    </w:p>
    <w:p>
      <w:pPr>
        <w:pStyle w:val="637"/>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 </w:t>
      </w:r>
      <w:r/>
    </w:p>
    <w:p>
      <w:pPr>
        <w:pStyle w:val="637"/>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第二章 供应商须知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A.说明和释义</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1.说明</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1.1本采购文件仅适用于江苏仁禾中衡工程咨询房地产估价有限公司组织的采购活动。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1.2本次采购活动及因本次采购产生的合同受中国法律制约和保护。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1.3本采购文件的解释权属于江苏仁禾中衡工程咨询房地产估价有限公司。</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2.词语释义</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2.1采购人：指依法进行政府采购的国家机关、事业单位、团体组织。</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2.2采购代理机构：指依法接受采购人委托，从事货物、工程和服务等政府采购代理业务的社会中介机构。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2.3供应商：指响应招标、参加投标竞争的法人、其他组织或者自然人。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2.4响应：供应商根据采购人或采购代理机构发布的采购文件，编制投标文件并按规定投标的行为。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2.5合同：采供双方根据采购文件和中标的投标（响应）文件及中标（成交）通知书规定的内容签署的以书面形式所达成的协议，包括所有的附件、附录和构成协议的所有文件。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2.6甲方（采购人）：合同中明确规定的实际购买货物和服务的法人或其他组织和自然人。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2.7乙方（供应商）：合同中规定的向采购人提供货物和服务的法人或其他组织和自然人。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2.8货物：系指乙方按采购文件规定，应向甲方提供的一切设备、备品、备件、工具、手册及其它有关技术资料和材料。</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2.11天：日历天。</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2.12时间：除特别说明，均指北京时间。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2.13交货地点：合同中明确约定的乙方提交的货物和服务最终到达地点。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2.14合同价款：根据合同规定，乙方在正确地履行合同义务后甲方应支付乙方的价款。</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2.15产地：货物开采、生长、生产、最终制造、加工或提供服务的来源地。</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2.16不可抗力：不能预见、不能避免并且不能克服的客观情况。</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2.17实质响应：满足有关本次采购标的、数量、质量、价款或者报酬、履行期限、履行地点和方式、违约责任和解决争议方法等要求。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2.18进口产品：通过中国海关报关验放进入中国境内且产自关境外的产品。</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2.19书面形式：指书面文字、合同书、信件和传真等可以有形地表现所载内容的形式。</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2.20核心产品：根据本项目技术构成、产品价格比重等合理确定的产品。</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B.供应商</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w:t>
      </w:r>
      <w:r>
        <w:rPr>
          <w:rFonts w:ascii="宋体" w:hAnsi="宋体" w:eastAsia="宋体" w:cs="宋体"/>
          <w:b/>
          <w:color w:val="000000"/>
          <w:sz w:val="24"/>
          <w:highlight w:val="none"/>
          <w:u w:val="none"/>
        </w:rPr>
        <w:t xml:space="preserve">申请人的资格要求：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详见本项目采购公告中的“申请人的资格要求”。</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4.供应商代表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指全权代表供应商参加磋商采购活动并签署投标（响应）文件的人，如果供应商代表不是法定代表人，须持有《法定代表人授权委托书》（详见统一格式）。</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5.磋商费用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无论磋商过程中的做法和结果如何，供应商自行承担所有与参加磋商有关的全部费用。</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6.联合磋商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6.1本项目不接受联合体投标。</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C.采购文件和投标（响应）文件的说明</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7.采购文件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ascii="宋体" w:hAnsi="宋体" w:eastAsia="宋体" w:cs="宋体"/>
          <w:b/>
          <w:color w:val="000000"/>
          <w:sz w:val="24"/>
          <w:highlight w:val="none"/>
        </w:rPr>
        <w:t xml:space="preserve">该电子投标（响应）文件将被视为未实质性响应。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7.2采购文件及其补充文件未按规定的方式获得的，采购代理机构对采购文件及其补遗的真实性、完整性不承担任何责任。</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8.采购文件的询问</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供应商在收到采购文件后，若有问题需要询问，应于下载采购文件后，可通过公告中的联系方式及时提出，采购人或采购代理机构将予以解答。</w:t>
      </w:r>
      <w:r/>
    </w:p>
    <w:p>
      <w:pPr>
        <w:ind w:left="485" w:right="0" w:firstLine="0"/>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9.现场踏勘</w:t>
      </w:r>
      <w:r/>
    </w:p>
    <w:p>
      <w:pPr>
        <w:ind w:left="0" w:right="0" w:firstLine="484"/>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供应商可自行对有关现场和周围环境进行踏勘，以获取编制投标（响应）文件和签署合同所需的信息，踏勘现场所发生的费用由供应商自己承担。</w:t>
      </w:r>
      <w:r/>
    </w:p>
    <w:p>
      <w:pPr>
        <w:ind w:left="485" w:right="0" w:firstLine="0"/>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10.集中现场考察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本项目按以下第</w:t>
      </w:r>
      <w:r>
        <w:rPr>
          <w:rFonts w:ascii="宋体" w:hAnsi="宋体" w:eastAsia="宋体" w:cs="宋体"/>
          <w:color w:val="000000"/>
          <w:sz w:val="24"/>
          <w:highlight w:val="none"/>
          <w:u w:val="single"/>
        </w:rPr>
        <w:t xml:space="preserve">①</w:t>
      </w:r>
      <w:r>
        <w:rPr>
          <w:rFonts w:ascii="宋体" w:hAnsi="宋体" w:eastAsia="宋体" w:cs="宋体"/>
          <w:color w:val="000000"/>
          <w:sz w:val="24"/>
          <w:highlight w:val="none"/>
        </w:rPr>
        <w:t xml:space="preserve">种方式组织集中现场考察：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①采购人不组织集中现场考察；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②采购人组织集中现场考察，请供应商持在”苏采云”系统中下载本项目采购文件的</w:t>
      </w:r>
      <w:r>
        <w:rPr>
          <w:rFonts w:ascii="宋体" w:hAnsi="宋体" w:eastAsia="宋体" w:cs="宋体"/>
          <w:b/>
          <w:color w:val="000000"/>
          <w:sz w:val="24"/>
          <w:highlight w:val="none"/>
        </w:rPr>
        <w:t xml:space="preserve">《投标供应商确认函》</w:t>
      </w:r>
      <w:r>
        <w:rPr>
          <w:rFonts w:ascii="宋体" w:hAnsi="宋体" w:eastAsia="宋体" w:cs="宋体"/>
          <w:color w:val="000000"/>
          <w:sz w:val="24"/>
          <w:highlight w:val="none"/>
        </w:rPr>
        <w:t xml:space="preserve">，按以下时间地点参加集中现场考察：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集合时间：</w:t>
      </w:r>
      <w:r>
        <w:rPr>
          <w:rFonts w:ascii="宋体" w:hAnsi="宋体" w:eastAsia="宋体" w:cs="宋体"/>
          <w:color w:val="000000"/>
          <w:sz w:val="24"/>
          <w:highlight w:val="none"/>
          <w:u w:val="single"/>
        </w:rPr>
        <w:t xml:space="preserve">/年/月/日/时/分（北京时间）</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集合地点：</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；联系电话：</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请供应商安排好行程，不得迟到。未提供《投标供应商确认函》或迟到者，恕不接待。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10.1根据自身投标需要，供应商可对项目相关情况进行考察，以获取编制投标（响应）文件和签署合同所需的信息。考察现场所发生的费用由供应商自己承担。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10.3经采购人允许，供应商可为考察目的进入采购人的项目现场，但供应商不得因此使采购人承担有关的责任和蒙受损失。供应商应承担考察现场的责任和风险。</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10.5由于未进行现场考察造成的任何问题由供应商自行承担。</w:t>
      </w:r>
      <w:r/>
    </w:p>
    <w:p>
      <w:pPr>
        <w:ind w:left="0" w:right="0" w:firstLine="482"/>
        <w:jc w:val="both"/>
        <w:spacing w:before="0" w:after="0" w:line="85" w:lineRule="atLeast"/>
        <w:tabs>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11.采购文件的澄清或修改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11.2为保证供应商有足够时间修正投标（响应）文件，或出于其他合理原因，采购代理机构可依法顺延响应截止时间和开标时间。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12.提示与要求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12.1供应商应仔细阅读采购文件的所有内容，按采购文件的要求提供投标（响应）文件，并保证所提供的全部资料的真实性，以使其对采购文件作出实质性响应，否则，其投标（响应）文件可能被拒绝。</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12.2无论是否递交投标（响应）文件，供应商都应将采购文件及以后的所有通知、文件等视为保密文件。</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13.投标（响应）文件计量单位和使用文字</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13.1投标（响应）文件中所使用的计量单位，除采购文件中有特殊要求外，均应使用中华人民共和国法定计量单位。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14.投标（响应）文件的组成</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14.1投标（响应）文件（报价、资格及技术部分）：</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14.1.1封面；</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14.1.2开标一览表（格式详见第三章）；</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14.1.3报价明细表</w:t>
      </w:r>
      <w:r>
        <w:rPr>
          <w:rFonts w:ascii="宋体" w:hAnsi="宋体" w:eastAsia="宋体" w:cs="宋体"/>
          <w:b/>
          <w:color w:val="000000"/>
          <w:sz w:val="24"/>
          <w:highlight w:val="none"/>
          <w:u w:val="none"/>
        </w:rPr>
        <w:t xml:space="preserve">（格式详见第三章）；</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14.1.4资格审查投标（响应）文件</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3118"/>
        <w:gridCol w:w="31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评审要求</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一、基本资格条件</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具有独立承担民事责任的能力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供应商提供包括法人或者其他组织的营业执照等证明文件，自然人参与磋商的提供身份证明。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供应商提供设备清单、相关技术人员的职称证书和用工合同或具有履行合同所必需的设备和专业技术能力的承诺书（格式自拟）。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供应商提供参加政府采购活动前三年内在经营活动中没有重大违法记录的书面声明。</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符合法律、行政法规规定的其他条件的证明材料或书面声明。</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二、落实政府采购政策需满足的资格要求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根据《政府采购促进中小企业发展管理办法》的相关规定，本项目</w:t>
            </w:r>
            <w:r>
              <w:rPr>
                <w:rFonts w:ascii="宋体" w:hAnsi="宋体" w:eastAsia="宋体" w:cs="宋体"/>
                <w:b/>
                <w:color w:val="000000"/>
                <w:sz w:val="21"/>
                <w:highlight w:val="none"/>
              </w:rPr>
              <w:t xml:space="preserve">专门面向中小企业</w:t>
            </w:r>
            <w:r>
              <w:rPr>
                <w:rFonts w:ascii="宋体" w:hAnsi="宋体" w:eastAsia="宋体" w:cs="宋体"/>
                <w:color w:val="000000"/>
                <w:sz w:val="21"/>
                <w:highlight w:val="none"/>
              </w:rPr>
              <w:t xml:space="preserve">，供应商应为中小微企业、监狱企业、残疾人福利性单位。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供应商提供以下三类文件之一的即符合本条要求，否则，将不享受中小企业扶持政策：</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1、中小企业声明函（格式见第三章）；</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2、残疾人福利性单位声明函（格式见第三章）；</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3、监狱企业证明文件，由省级以上监狱管理局、戒毒管理局（含新疆生产建设兵团）出具。</w:t>
            </w:r>
            <w:r/>
          </w:p>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注：若供应商提供的以上材料为虚假声明则视同提供虚假材料，按《政府采购法》相关规定处理并报请政府监管部门给予行政处罚</w:t>
            </w:r>
            <w:r>
              <w:rPr>
                <w:rFonts w:ascii="宋体" w:hAnsi="宋体" w:eastAsia="宋体" w:cs="宋体"/>
                <w:color w:val="000000"/>
                <w:sz w:val="24"/>
                <w:highlight w:val="none"/>
              </w:rPr>
              <w:t xml:space="preserve">。</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三、本项目的特定资格要求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未被“信用中国”（www.creditchina.gov.cn）等相关网站列入失信被执行人、重大税收违法案件当事人名单、政府采购严重失信行为记录名单。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供应商无需提供相关证明资料，由采购代理机构按照采购文件第二章“21.信用查询”要求执行。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单位负责人为同一人或者存在直接控股、管理关系的不同供应商，不得参加同一合同项下的采购活动。</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提供声明函</w:t>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以上是资格性审查的要求和必须提供的材料，未按要求提供的投标（响应）无效。</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14.1.5符合性审查投标（响应）文件</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3118"/>
        <w:gridCol w:w="311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评审要求</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一、报价要求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供应商报价不得超出采购预算及最高限价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供应商提供报价未超过采购预算及最高限价的声明</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二、商务要求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法定代表人授权委托书（如有授权）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供应商法定代表人身份证扫描件、供应商代理人身份证扫描件（如有授权）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供应商法定代表人身份证扫描件、供应商代理人身份证扫描件（如有授权）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《供应商基本情况表》、《关于资格文件的声明函》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《投标人与其他单位存在直接控股、管理关系情况表》、《投标（响应）保证承诺书》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《商务要求偏离表》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《拟投入本项目人员配备一览表》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三、技术要求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《服务或技术要求偏离表》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格式见第三章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采购需求中所涉及到的或供应商认为需加以说明或证明的其他有关符合性证明材料、证明（如有）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格式自拟</w:t>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以上为符合性审查的要求和必须提供的材料，未按要求提供的投标（响应）无效。</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14.1.6《类似项目一览表》（格式详见第三章）；</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14.1.7综合评审其他文件相关要求详见采购文件第六章评审办法。</w:t>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（1）供应商必须提交上述14.1.1—14.1.5款规定的资料。否则，投标（响应）文件将被视为因未实质性响应采购文件要求而被拒绝。</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供应商必须保证全部投标（响应）资料的真实性，如有虚假或对采购文件所要求说明的情况故意隐瞒或虚报，视为不实质性响应采购文件，响应无效。</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如供应商投标（响应）文件中某些条款不响应采购文件提出的全部采购内容与服务要求，须在偏离表中逐条列出，未列出的视同响应。</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15.电子投标（响应）文件的制作及递交</w:t>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left="0" w:right="0" w:firstLine="480"/>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left="0" w:right="0" w:firstLine="482"/>
        <w:jc w:val="both"/>
        <w:spacing w:before="0" w:after="0" w:line="85" w:lineRule="atLeast"/>
        <w:tabs>
          <w:tab w:val="left" w:pos="142" w:leader="none"/>
          <w:tab w:val="left" w:pos="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15.3投标（响应）文件未按照采购文件要求加盖CA电子公章的，响应无效。</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16.报价（编制）要求的说明</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投标（响应）报价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供应商应对采购文件内所要采购的全部内容进行报价，只投其中部分内容者，其投标（响应）文件将被拒绝。但如果采购文件要求分标段的，则供应商可以有选择地只投其中一个或几个标段，也可以投全部标段，但各标段应分别计算填写单价和总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16.3一项内容只允许一个报价，采购单位不接受任何有选择性地报价。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16.4投标（响应）文件报价中的单价和总价全部采用人民币表示，除非合同的特殊条款另有规定。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16.5最低报价不能作为中标（成交）的保证。</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17.履约保证金：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17.1中标（成交）供应商应按前附表的规定提交履约保证金。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18.投标（响应）文件的有效期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18.1自投标（响应）文件提交截止之日起</w:t>
      </w:r>
      <w:r>
        <w:rPr>
          <w:rFonts w:ascii="宋体" w:hAnsi="宋体" w:eastAsia="宋体" w:cs="宋体"/>
          <w:color w:val="000000"/>
          <w:sz w:val="24"/>
          <w:highlight w:val="none"/>
          <w:u w:val="single"/>
        </w:rPr>
        <w:t xml:space="preserve">90</w:t>
      </w:r>
      <w:r>
        <w:rPr>
          <w:rFonts w:ascii="宋体" w:hAnsi="宋体" w:eastAsia="宋体" w:cs="宋体"/>
          <w:color w:val="000000"/>
          <w:sz w:val="24"/>
          <w:highlight w:val="none"/>
        </w:rPr>
        <w:t xml:space="preserve">天内，投标（响应）文件应保持有效。有效期短于这个规定期限的响应，将被拒绝。</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18.2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19.响应截止时间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w:t>
      </w:r>
      <w:r>
        <w:rPr>
          <w:rFonts w:ascii="宋体" w:hAnsi="宋体" w:eastAsia="宋体" w:cs="宋体"/>
          <w:color w:val="000000"/>
          <w:sz w:val="24"/>
          <w:highlight w:val="none"/>
          <w:u w:val="none"/>
        </w:rPr>
        <w:t xml:space="preserve">电子投标（响应）文件制作完成后请于投标（响应）截止时间前上传，否则视为放弃参加该采购项目。</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w:t>
      </w:r>
      <w:r>
        <w:rPr>
          <w:rFonts w:ascii="宋体" w:hAnsi="宋体" w:eastAsia="宋体" w:cs="宋体"/>
          <w:color w:val="000000"/>
          <w:sz w:val="24"/>
          <w:highlight w:val="none"/>
          <w:u w:val="none"/>
        </w:rPr>
        <w:t xml:space="preserve">采</w:t>
      </w:r>
      <w:r>
        <w:rPr>
          <w:rFonts w:ascii="宋体" w:hAnsi="宋体" w:eastAsia="宋体" w:cs="宋体"/>
          <w:color w:val="000000"/>
          <w:sz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19.3</w:t>
      </w:r>
      <w:r>
        <w:rPr>
          <w:rFonts w:ascii="宋体" w:hAnsi="宋体" w:eastAsia="宋体" w:cs="宋体"/>
          <w:color w:val="000000"/>
          <w:sz w:val="24"/>
          <w:highlight w:val="none"/>
          <w:u w:val="none"/>
        </w:rPr>
        <w:t xml:space="preserve">在投标（响应）截止时间止，采购人或采购代理机构收到的某标段投标（响应）文件少于三份，采购人或采购代理机构有权宣布该标段本次招标（采购）失败。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w:t>
      </w:r>
      <w:r>
        <w:rPr>
          <w:rFonts w:ascii="宋体" w:hAnsi="宋体" w:eastAsia="宋体" w:cs="宋体"/>
          <w:color w:val="000000"/>
          <w:sz w:val="24"/>
          <w:highlight w:val="none"/>
          <w:u w:val="none"/>
        </w:rPr>
        <w:t xml:space="preserve">供应商</w:t>
      </w:r>
      <w:r>
        <w:rPr>
          <w:rFonts w:ascii="宋体" w:hAnsi="宋体" w:eastAsia="宋体" w:cs="宋体"/>
          <w:color w:val="000000"/>
          <w:sz w:val="24"/>
          <w:highlight w:val="none"/>
        </w:rPr>
        <w:t xml:space="preserve">在投标（响应）截止时间前，可以对所递交的投标（响应）文件进行补充、修改或者撤回。</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D.开标和评标</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20.磋商程序</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20.1采购代理机构按本须知规定的时间、地点主持磋商采购活动。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20.2供应商通过“苏采云”系统在线参与磋商活动。供应商应当按照《苏采云系统供应商操作手册》规定在“苏采云”系统规定的时间内对投标（响应）文件进行解密。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20.3在投标（响应）文件网上递交截止时间止成功解密的供应商少于三家，则本次采购失败。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20.4由磋商小组审查供应商解密的投标（响应）文件。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20.6磋商小组要求供应商澄清、说明或者更正投标（响应）文件应当以书面形式做出。供应商的澄清、说明或者更正应当由其单位加盖电子公章。</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ascii="宋体" w:hAnsi="宋体" w:eastAsia="宋体" w:cs="宋体"/>
          <w:b/>
          <w:color w:val="000000"/>
          <w:sz w:val="24"/>
          <w:highlight w:val="none"/>
        </w:rPr>
        <w:t xml:space="preserve">，如因供应商自身原因未在规定时间内提交澄清确认资料的，导致的不利后果由供应商自行承担</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20.9磋商结束后，磋商小组将在“苏采云”系统向所有实质性响应的供应商发布“最后报价要求函”及最后报价格式表，要求所有实质性响应的供应商在规定时间内提交最后报价。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20.10供应商未在磋商小组规定的时间内在“苏采云”系统中提交最后报价的视为放弃磋商，其投标（响应）文件按无效响应处理，最后报价格式表须加盖CA电子公章,否则视为未提交最后报价（</w:t>
      </w:r>
      <w:r>
        <w:rPr>
          <w:rFonts w:ascii="宋体" w:hAnsi="宋体" w:eastAsia="宋体" w:cs="宋体"/>
          <w:b/>
          <w:color w:val="000000"/>
          <w:sz w:val="24"/>
          <w:highlight w:val="none"/>
        </w:rPr>
        <w:t xml:space="preserve">此处规定时间的计算以系统中的倒计时间为准</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已提交投标（响应）文件的供应商，在提交最后报价之前，可以根据磋商情况退出磋商，并在“苏采云”系统中提交“退出磋商函”并加盖CA电子公章。</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进入项目评审流程后，建议各供应商法定代表人或授权委托人始终保持通讯顺畅，及时登录苏采云系统查阅、答复相关信息。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20.11经磋商确定最终采购需求和提交最后报价的供应商后，由磋商小组采用综合评分法对提交最后报价的供应商的投标（响应）文件和最后报价进行综合评分。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20.12磋商小组根据磋商成交原则确定成交供应商，并将结果通知所有参加磋商的供应商。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20.13在机器码检查中，出现不同供应商投标（响应）文件机器码一致情形的，投标（响应）文件将被认定为无效响应。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20.14如磋商过程中出现本采购文件未尽事宜，由磋商小组根据政府采购有关法律、法规讨论决定。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20.15以上磋商活动所涉及系统操作，以“苏采云”系统最新要求为准。</w:t>
      </w:r>
      <w:r/>
    </w:p>
    <w:p>
      <w:pPr>
        <w:ind w:left="0" w:right="0" w:firstLine="480"/>
        <w:jc w:val="both"/>
        <w:spacing w:before="210" w:after="21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*进入项目评审流程后，建议各供应商法定代表人或授权委托人始终保持通讯顺畅，时刻关注不见面开标大厅，不离开不见面开标大厅</w:t>
      </w:r>
      <w:r>
        <w:rPr>
          <w:rFonts w:ascii="宋体" w:hAnsi="宋体" w:eastAsia="宋体" w:cs="宋体"/>
          <w:color w:val="000000"/>
          <w:sz w:val="24"/>
          <w:highlight w:val="none"/>
        </w:rPr>
        <w:t xml:space="preserve">。</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21.信用查询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21.1查询时间：投标（响应）文件提交截止时间。</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21.2查询渠道：中国政府采购网（www.ccgp.gov.cn）、信用中国（www.creditchina.gov.cn）、信用江苏（</w:t>
      </w:r>
      <w:r>
        <w:fldChar w:fldCharType="begin"/>
      </w:r>
      <w:r>
        <w:instrText xml:space="preserve"> HYPERLINK "http://www.jscredit.gov.cn/" \o "http://www.jscredit.gov.cn/" </w:instrText>
      </w:r>
      <w:r>
        <w:fldChar w:fldCharType="separate"/>
      </w:r>
      <w:r>
        <w:rPr>
          <w:rStyle w:val="667"/>
          <w:rFonts w:ascii="宋体" w:hAnsi="宋体" w:eastAsia="宋体" w:cs="宋体"/>
          <w:color w:val="0000ee"/>
          <w:sz w:val="24"/>
          <w:highlight w:val="none"/>
          <w:u w:val="single"/>
        </w:rPr>
        <w:t xml:space="preserve">www.jscredit.gov.cn</w:t>
      </w:r>
      <w:r>
        <w:rPr>
          <w:rStyle w:val="667"/>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）、诚信苏州（www.szcredit.gov.cn）。</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21.3查询证据留存方式：对存在失信信息的供应商，由失信供应商进行确认。同时，采购代理机构工作人员应根据磋商小组确认的失信信息，登陆到相关来源网站页面进行复核并打印，作为证据留存。</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21.4信用记录使用规则：在对供应商进行资格性审查时，应根据查询结果对供应商的不良信用记录逐项甄别确认。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21.4.1政府采购严重违法记录，即供应商被全国各级财政部门列入“政府采购严重违法失信行为记录名单”，且在处罚有效期内的。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21.4.2财政部门与法院、工商、税务等部门联合惩戒的失信信息，包括：</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21.4.2.1被列入失信被执行人名单；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21.4.2.2被列入重大税收违法案件当事人名单；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22.磋商小组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22.1磋商小组由采购单位依法组建，由采购单位代表、专家评委组成。</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22.2磋商小组负责具体的磋商事务，并独立履行以下职责：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22.2.1审查投标（响应）文件是否符合采购文件的要求，并做出评价；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22.2.2可以要求供应商对投标（响应）文件有关事项做出解释或澄清；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22.2.3推荐中标（成交）候选供应商名单；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22.2.4向采购单位或者有关部门报告非法干预磋商工作的行为。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22.3磋商小组成员应当履行下列义务：</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22.3.1遵纪守法，客观、公正、廉洁地履行职责；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22.3.2按照采购文件规定的评审办法和评分标准进行评审，对评审意见承担个人责任；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22.3.3对磋商过程和结果，以及供应商的商业秘密保密；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22.3.4参与评审报告的起草；</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22.3.5配合相关部门的投诉处理工作；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22.3.6配合采购单位答复供应商提出的质疑。</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23.评审内容的保密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23.1磋商开始后，直到宣布授予中标（成交）单位合同为止，凡属于审查、澄清、评价和比较投标（响应）文件的所有资料，有关授予合同的信息都不应向供应商或与评审无关的其他人泄露。</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23.2在投标（响应）文件的审查、澄清、评价和比较以及授予合同的过程中，供应商对采购单位和磋商小组施加影响的任何行为，都将取消其成交资格。</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23.3在评审期间，采购人或采购代理机构将通过指定联络人与供应商进行联系。</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24.对投标（响应）文件初审</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24.1.1供应商的投标（响应）文件未按照本须知规定制作的；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24.1.2未按本须知规定提交资格文件；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24.1.3与采购文件有重大偏离；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24.1.4供应商拒绝修正错误；</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24.1.5供应商的报价是选择性的；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24.1.6供应商的报价只投了部分内容；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24.1.7供应商的投标（响应）文件出现了磋商小组认为不应当雷同的情况；</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24.1.8其他被磋商小组认定无效的情况。</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24.2磋商小组将对确定为实质上响应的文件进行审核，看其是否有计算上或累加上的算术错误，修正错误的原则如下：</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24.2.1投标（响应）文件中开标一览表内容与投标（响应）文件中相应内容不一致的，以开标一览表为准；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24.2.2大写金额和小写金额不一致的，以大写金额为准；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24.2.3单价金额小数点或者百分比有明显错位的，以开标一览表的总价为准，并修改单价；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24.2.4总价金额与按单价汇总金额不一致的，以单价金额计算结果为准。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同时出现两种以上不一致的，按照前款规定的顺序修正。修正后的报价按照本须知25.1条的规定经供应商确认后产生约束力，供应商不确认的，其投标无效。</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24.3供应商不同意以上修正，则其投标将被拒绝。</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25.投标（响应）文件的澄清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对于投标（响应）文件中含义不明确、同类问题表述不一致或者有明显文字和计算错误的内容，磋商小组应当要求供应商做出必要的澄清、说明或者补正。供应商的澄清、说明或者补正不得超出投标（响应）文件的范围或者改变投标（响应）文件的实质性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25.2本项目采用线上澄清</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25.2.2接到磋商小组澄清、说明和更正要求的供应商如未按规定做出澄清、说明和更正，其风险由供应商自行承担。</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26.项目的终止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出现下列情形之一的，将终止竞争性磋商采购活动：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26.1因情况变化，不再符合规定的竞争性磋商采购方式适用情形的；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26.2出现影响采购公正的违法、违规行为的；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26.3在采购过程中符合要求的供应商或者报价未超过采购预算的供应商不足3家的；</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26.4在采购活动中因重大变故，采购任务取消的。</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27.投标（响应）文件的评价和比较</w:t>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27.1磋商小组将依据采购文件的规定，按第六章的评审办法对所有参加磋商的供应商的投标（响应）文件进行实质性响应的评价，并确定参加单一磋商的实质性响应采购文件的供应商。</w:t>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28.中标（成交）单位的确认</w:t>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left="0" w:right="0" w:firstLine="502"/>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28.2经磋商小组评审并确定中标（成交）单位后，采购人将在规定的</w:t>
      </w:r>
      <w:r>
        <w:rPr>
          <w:rFonts w:ascii="宋体" w:hAnsi="宋体" w:eastAsia="宋体" w:cs="宋体"/>
          <w:color w:val="000000"/>
          <w:sz w:val="24"/>
          <w:highlight w:val="none"/>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E.授予合同</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29.合同授予标准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采购单位将把合同授予其投标（响应）文件在实质上响应采购文件要求和按本须知规定评选出的供应商。确定为中标（成交）的供应商必须具有实施本合同的能力和资源。</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30.中标（成交）通知书</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使用CA数字证书登录“苏采云”系统及时下载中标（</w:t>
      </w:r>
      <w:r>
        <w:rPr>
          <w:rFonts w:ascii="宋体" w:hAnsi="宋体" w:eastAsia="宋体" w:cs="宋体"/>
          <w:color w:val="000000"/>
          <w:sz w:val="24"/>
          <w:highlight w:val="none"/>
        </w:rPr>
        <w:t xml:space="preserve">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采用综合评分法评审的，还应当告知未中标（成交）人本人的评审得分与排序。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30.2采购人或采购代理机构对未中标（成交）单位不承担解释未中标（成交）原因的义务。</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30.3中标（成交）通知书将成为合同的组成部分。</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31.合同的签订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31.1中标（成交）单位应按采购单位规定的时间和地点，由法定代表人或代理人与甲方代表签订合同。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31.2签订合同及合同条款应以采购文件和中标（成交）单位的投标（响应）文件及其澄清文件为依据。</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F.其他事项</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32.质疑</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32.1质疑及答复遵守《政府采购质疑和投诉办法》（中华人民共和国财政部令第94号）规定。</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①对可以质疑的采购文件提出质疑的，为收到采购文件之日或者采购文件公告期限届满之日；</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②对采购过程提出质疑的，为各采购程序环节结束之日；</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③对中标（成交）结果提出质疑的，为中标（成交）结果公告期限届满之日。</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对采购文件内容质疑时，需提供在采购交易系统中下载本项目采购文件的</w:t>
      </w:r>
      <w:r>
        <w:rPr>
          <w:rFonts w:ascii="宋体" w:hAnsi="宋体" w:eastAsia="宋体" w:cs="宋体"/>
          <w:b/>
          <w:color w:val="000000"/>
          <w:sz w:val="24"/>
          <w:highlight w:val="none"/>
          <w:u w:val="none"/>
        </w:rPr>
        <w:t xml:space="preserve">《投标供应商确认函》</w:t>
      </w:r>
      <w:r>
        <w:rPr>
          <w:rFonts w:ascii="宋体" w:hAnsi="宋体" w:eastAsia="宋体" w:cs="宋体"/>
          <w:b/>
          <w:color w:val="000000"/>
          <w:sz w:val="24"/>
          <w:highlight w:val="none"/>
        </w:rPr>
        <w:t xml:space="preserve">，未提供的视为未依照采购公告要求获取采购文件的供应商，不具备对该政府采购项目提出质疑的法定权利。</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Style w:val="667"/>
          <w:rFonts w:ascii="宋体" w:hAnsi="宋体" w:eastAsia="宋体" w:cs="宋体"/>
          <w:color w:val="0000ee"/>
          <w:sz w:val="24"/>
          <w:highlight w:val="none"/>
          <w:u w:val="single"/>
        </w:rPr>
        <w:t xml:space="preserve">政府采购供应商质疑函范本</w:t>
      </w:r>
      <w:r>
        <w:rPr>
          <w:rStyle w:val="667"/>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32.6</w:t>
      </w:r>
      <w:r>
        <w:rPr>
          <w:rFonts w:ascii="宋体" w:hAnsi="宋体" w:eastAsia="宋体" w:cs="宋体"/>
          <w:color w:val="000000"/>
          <w:sz w:val="24"/>
          <w:highlight w:val="none"/>
          <w:u w:val="none"/>
        </w:rPr>
        <w:t xml:space="preserve">供应商提出书面质疑必须有理、有据，不得捏造事实、提供虚假材料进行恶意质疑。</w:t>
      </w:r>
      <w:r>
        <w:rPr>
          <w:rFonts w:ascii="宋体" w:hAnsi="宋体" w:eastAsia="宋体" w:cs="宋体"/>
          <w:color w:val="000000"/>
          <w:sz w:val="24"/>
          <w:highlight w:val="none"/>
        </w:rPr>
        <w:t xml:space="preserve">否则，一经查实，将报请政府采购监管部门按照政府采购相关法规规定，依法进行处罚和失信记录。</w:t>
      </w:r>
      <w:r/>
    </w:p>
    <w:p>
      <w:pPr>
        <w:ind w:left="0" w:right="0" w:firstLine="48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32.7质疑递交信息：详见第一章采购人及采购代理机构联系信息。</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33.代理服务费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33.1中标（成交）单位须按前附表的规定计算并支付代理服务费，该费用应在领取中标（成交）通知书时付清。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33.2中标（成交）单位如果未按规定缴纳代理服务费，采购单位将保留诉讼的权利。</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34.未尽事宜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未尽事宜应按《中华人民共和国民法典》、《中华人民共和国政府采购法》以及其它相关法律、法规之规定解释。</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第三章 投标（响应）文件格式</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对本章所有的格式，供应商可根据自身情况进行补充和修改，但补充和修改不得造成与本格式内容有实质性的违背。</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1、（供应商）法定代表人授权委托书</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授权委托书</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（投标人名称）的法定代表人，现授权委托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（姓名+手机号码）为我公司代理人，以本公司的名义参加</w:t>
      </w:r>
      <w:r>
        <w:rPr>
          <w:rFonts w:ascii="宋体" w:hAnsi="宋体" w:eastAsia="宋体" w:cs="宋体"/>
          <w:color w:val="000000"/>
          <w:sz w:val="24"/>
          <w:highlight w:val="none"/>
          <w:u w:val="single"/>
        </w:rPr>
        <w:t xml:space="preserve">苏州革命博物馆</w:t>
      </w:r>
      <w:r>
        <w:rPr>
          <w:rFonts w:ascii="宋体" w:hAnsi="宋体" w:eastAsia="宋体" w:cs="宋体"/>
          <w:color w:val="000000"/>
          <w:sz w:val="24"/>
          <w:highlight w:val="none"/>
        </w:rPr>
        <w:t xml:space="preserve">（采购人名称）组织实施的编号为</w:t>
      </w:r>
      <w:r>
        <w:rPr>
          <w:rFonts w:hint="eastAsia" w:ascii="宋体" w:hAnsi="宋体" w:eastAsia="宋体" w:cs="宋体"/>
          <w:color w:val="000000"/>
          <w:sz w:val="24"/>
          <w:highlight w:val="none"/>
          <w:u w:val="single"/>
          <w:lang w:eastAsia="zh-CN"/>
        </w:rPr>
        <w:t xml:space="preserve">JSZC-320500-RHHH-C2026-0025</w:t>
      </w:r>
      <w:r>
        <w:rPr>
          <w:rFonts w:ascii="宋体" w:hAnsi="宋体" w:eastAsia="宋体" w:cs="宋体"/>
          <w:color w:val="000000"/>
          <w:sz w:val="24"/>
          <w:highlight w:val="none"/>
        </w:rPr>
        <w:t xml:space="preserve">号的招标（采购）活动。代理人在投标、开标、评标、合同订立和履行过程中所签署的一切文件和处理与这有关的一切事务，我均予以承认。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代理人无转委托权。特此委托。</w:t>
      </w:r>
      <w:r/>
    </w:p>
    <w:p>
      <w:pPr>
        <w:ind w:left="0" w:right="96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96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2、投标（响应）函</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投标（响应）函</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w:t>
      </w:r>
      <w:r>
        <w:rPr>
          <w:rFonts w:hint="eastAsia" w:ascii="宋体" w:hAnsi="宋体" w:eastAsia="宋体" w:cs="宋体"/>
          <w:color w:val="000000"/>
          <w:sz w:val="24"/>
          <w:highlight w:val="none"/>
          <w:u w:val="single"/>
          <w:lang w:eastAsia="zh-CN"/>
        </w:rPr>
        <w:t xml:space="preserve">JSZC-320500-RHHH-C2026-0025</w:t>
      </w:r>
      <w:r>
        <w:rPr>
          <w:rFonts w:ascii="宋体" w:hAnsi="宋体" w:eastAsia="宋体" w:cs="宋体"/>
          <w:color w:val="000000"/>
          <w:sz w:val="24"/>
          <w:highlight w:val="none"/>
        </w:rPr>
        <w:t xml:space="preserve">号采购文件，经仔细阅读和研究，我们决定参加磋商活动。</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1、我们愿意按照采购文件的一切要求，提供完成该项目的全部内容，我们的报价包括但不限于人工、交通、保险、管理费、税金及政策性文件规定费用及合同包含的所有风险、责任等各项费用。</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2、如果我们的投标（响应）文件被接受，我们将严格履行采购文件中规定的每一项要求，按期、按质、按量履行合同的义务。</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3、我们已详细审查全部采购文件，包括更正公告（如有）。我们完全理解并同意放弃对这方面有不明及误解的权力。</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4、我们同意按采购文件中的规定，本投标（响应）文件的有效期限为投标（响应）文件提交截止之日起九十天。</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5、我们愿意提供采购单位在采购文件中要求的所有资料。</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6、我们愿意遵守采购文件中所列的收费标准。</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7、我们承诺该投标（响应）文件在磋商开始后的全过程中保持有效，不做任何更改和变动。</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8、我们承诺我公司符合采购文件中申请人的资格要求，若与真实情况不符，本公司愿意承担由此而产生的一切后果。</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9、我们声明：我们在参加本次政府采购活动前3年内在经营活动中没有重大违法记录。</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10、如果我们中标（成交），我们愿意按采购文件的规定支付代理服务费和履约保证金。</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11、综合说明：</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（1）伴随服务及配合措施；（2）要求甲方提供的配合；</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（3）对采购文件有不同意见的偏离说明；（4）其它说明。</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所有有关投标（响应）文件的函电，请按下列地址联系：</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单位：联系人：</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地址：邮政编码：</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联系电话：电子邮箱：</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银行账号：</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银行开户行：</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数字人民币开户行（如有）：</w:t>
      </w:r>
      <w:r/>
    </w:p>
    <w:p>
      <w:pPr>
        <w:ind w:left="0" w:right="0"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数字人民币账户（数币钱包ID）：</w:t>
      </w:r>
      <w:r/>
    </w:p>
    <w:p>
      <w:pPr>
        <w:ind w:left="0" w:right="0" w:firstLine="480"/>
        <w:spacing w:before="240" w:after="24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3、开标一览表</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开标一览表（总报价）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w:t>
      </w:r>
      <w:r/>
    </w:p>
    <w:p>
      <w:pPr>
        <w:ind w:left="0" w:right="0" w:firstLine="0"/>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JSZC-320500-RHHH-C2026-0025</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分包号：采购包1</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4"/>
        <w:gridCol w:w="5300"/>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党性教育实训基地运营管理项目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4"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0" w:type="dxa"/>
            <w:vAlign w:val="center"/>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1024" w:right="300" w:firstLine="231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1024" w:right="300" w:firstLine="231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1024" w:right="300" w:firstLine="37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    月 日</w:t>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填写说明</w:t>
      </w:r>
      <w:r>
        <w:rPr>
          <w:rFonts w:ascii="Calibri" w:hAnsi="Calibri" w:eastAsia="Calibri" w:cs="Calibri"/>
          <w:color w:val="000000"/>
          <w:sz w:val="24"/>
          <w:highlight w:val="none"/>
        </w:rPr>
        <w:t xml:space="preserve">:</w:t>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1、开标一览表必须加盖投标人公章（复印件无效）。</w:t>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2、如有分包，投标人投任何一个包的标的，都需单独填写开标一览表。</w:t>
      </w:r>
      <w:r>
        <w:rPr>
          <w:rFonts w:ascii="宋体" w:hAnsi="宋体" w:eastAsia="宋体" w:cs="宋体"/>
          <w:color w:val="000000"/>
          <w:sz w:val="24"/>
          <w:highlight w:val="none"/>
          <w:u w:val="single"/>
        </w:rPr>
        <w:br w:type="page" w:clear="all"/>
      </w:r>
      <w:r/>
    </w:p>
    <w:p>
      <w:pPr>
        <w:ind w:left="0" w:right="0" w:firstLine="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4、报价明细表</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报价明细表</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288"/>
        <w:gridCol w:w="1536"/>
        <w:gridCol w:w="1424"/>
        <w:gridCol w:w="1091"/>
        <w:gridCol w:w="2240"/>
      </w:tblGrid>
      <w:tr>
        <w:trPr>
          <w:trHeight w:val="5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单价</w:t>
            </w:r>
            <w:r/>
          </w:p>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（元/人/月）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人数（预估）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月份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小计（元）</w:t>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人员固定费用</w:t>
            </w:r>
            <w:r/>
          </w:p>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（不可竞争费用）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2079840.00元</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管理费用预估</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（可竞争费用）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4" w:type="dxa"/>
            <w:vAlign w:val="center"/>
            <w:textDirection w:val="lrTb"/>
            <w:noWrap w:val="false"/>
          </w:tcPr>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ind w:left="0" w:right="108"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注：（1）单价最高限价金额：120元/人/月，响应单位响应单价不得超过最高限价金额，最终采购单位按响应单价与实际人数结算支付费用。</w:t>
      </w:r>
      <w:r/>
    </w:p>
    <w:p>
      <w:pPr>
        <w:ind w:left="0" w:right="108"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（2）人员固定费用：包括工资、福利、社保、奖金、津贴、税金、加班费等。</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bookmarkStart w:id="0" w:name="_GoBack"/>
      <w:r/>
      <w:bookmarkEnd w:id="0"/>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5、服务实施方案</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服务实施方案</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92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提示：</w:t>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1、供应商应根据本次采购项目要求，对所响应标的进行详细的说明与描述，包括针对本次采购项目特点及具体情况编写成交后拟采取的实施方案等。</w:t>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2、供应商可根据自身情况编写，本页不够可另加页附后。</w:t>
            </w:r>
            <w:r/>
          </w:p>
        </w:tc>
      </w:tr>
      <w:tr>
        <w:trPr>
          <w:trHeight w:val="89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bottom"/>
            <w:textDirection w:val="lrTb"/>
            <w:noWrap w:val="false"/>
          </w:tcPr>
          <w:p>
            <w:pPr>
              <w:ind w:left="0" w:right="0" w:firstLine="240"/>
              <w:jc w:val="center"/>
              <w:spacing w:before="0" w:after="0" w:line="85" w:lineRule="atLeast"/>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p>
        </w:tc>
      </w:tr>
    </w:tbl>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6、商务要求偏离表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商务要求偏离表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2、本表不作为供应商对所响应标的物商务条款详细描述和说明的替代。</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7、服务或技术要求偏离表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服务或技术要求偏离表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ind w:left="0" w:right="0" w:firstLine="480"/>
        <w:jc w:val="both"/>
        <w:spacing w:before="21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2、本表不作为供应商对所响应标的物服务条款详细描述和说明的替代。</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8、拟投入本项目人员配备一览表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拟投入本项目人员配备一览表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039"/>
        <w:gridCol w:w="1039"/>
        <w:gridCol w:w="1039"/>
        <w:gridCol w:w="1039"/>
        <w:gridCol w:w="1039"/>
        <w:gridCol w:w="1039"/>
        <w:gridCol w:w="1039"/>
        <w:gridCol w:w="10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从事本工作时间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典型业务与技术专长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120" w:after="12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注：请将相关证明材料复印件加盖公章后附在本表后面。</w:t>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9、类似项目一览表</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类似项目一览表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合同签订日期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625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注：请将其他相关证明材料复印件加盖公章后附在本表后面。</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10、资格证明文件</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（1）关于资格文件的声明函</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关于资格文件的声明函</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本公司愿就由贵公司组织实施的编号为</w:t>
      </w:r>
      <w:r>
        <w:rPr>
          <w:rFonts w:hint="eastAsia" w:ascii="宋体" w:hAnsi="宋体" w:eastAsia="宋体" w:cs="宋体"/>
          <w:color w:val="000000"/>
          <w:sz w:val="24"/>
          <w:highlight w:val="none"/>
          <w:u w:val="single"/>
          <w:lang w:eastAsia="zh-CN"/>
        </w:rPr>
        <w:t xml:space="preserve">JSZC-320500-RHHH-C2026-0025</w:t>
      </w:r>
      <w:r>
        <w:rPr>
          <w:rFonts w:ascii="宋体" w:hAnsi="宋体" w:eastAsia="宋体" w:cs="宋体"/>
          <w:color w:val="000000"/>
          <w:sz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（2）供应商基本情况表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供应商基本情况表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1"/>
        <w:gridCol w:w="1871"/>
        <w:gridCol w:w="1871"/>
        <w:gridCol w:w="1871"/>
        <w:gridCol w:w="1871"/>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216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96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2025年    万元</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96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自有面积      平方米</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承租面积      平方米</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是否处于被行政或司法机关责令停业或停止承接项目或停止投标资格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3"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供应商名称：（加盖CA电子公章）</w:t>
      </w:r>
      <w:r/>
    </w:p>
    <w:p>
      <w:pPr>
        <w:ind w:left="0" w:right="420"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（3）中小企业声明函</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中小企业声明函（服务）</w:t>
      </w:r>
      <w:r/>
    </w:p>
    <w:p>
      <w:pPr>
        <w:ind w:left="57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本公司郑重声明，根据《政府采购促进中小企业发展管理办法》（财库﹝2020﹞46号）的规定，本公司参加</w:t>
      </w:r>
      <w:r>
        <w:rPr>
          <w:rFonts w:ascii="宋体" w:hAnsi="宋体" w:eastAsia="宋体" w:cs="宋体"/>
          <w:color w:val="000000"/>
          <w:sz w:val="24"/>
          <w:highlight w:val="none"/>
          <w:u w:val="single"/>
        </w:rPr>
        <w:t xml:space="preserve">苏州革命博物馆</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党性教育实训基地运营管理项目</w:t>
      </w:r>
      <w:r>
        <w:rPr>
          <w:rFonts w:ascii="宋体" w:hAnsi="宋体" w:eastAsia="宋体" w:cs="宋体"/>
          <w:color w:val="000000"/>
          <w:sz w:val="24"/>
          <w:highlight w:val="none"/>
        </w:rPr>
        <w:t xml:space="preserve">采购活动，服务全部由符合政策要求的中小企业承接。相关企业的具体情况如下：</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党性教育实训基地运营管理项目</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（采购文件中明确的所属行业）行业</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center"/>
        <w:spacing w:before="100" w:after="100" w:line="85" w:lineRule="atLeast"/>
        <w:tabs>
          <w:tab w:val="left" w:pos="57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单位名称（盖章）：</w:t>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（4）残疾人福利性单位声明函</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残疾人福利性单位声明函</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ascii="宋体" w:hAnsi="宋体" w:eastAsia="宋体" w:cs="宋体"/>
          <w:color w:val="000000"/>
          <w:sz w:val="24"/>
          <w:highlight w:val="none"/>
        </w:rPr>
        <w:br/>
      </w:r>
      <w:r/>
    </w:p>
    <w:p>
      <w:pPr>
        <w:ind w:left="0" w:right="0" w:firstLine="42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w:t>
      </w:r>
      <w:r>
        <w:rPr>
          <w:rFonts w:ascii="宋体" w:hAnsi="宋体" w:eastAsia="宋体" w:cs="宋体"/>
          <w:b/>
          <w:color w:val="000000"/>
          <w:sz w:val="21"/>
          <w:highlight w:val="none"/>
          <w:u w:val="none"/>
        </w:rPr>
        <w:t xml:space="preserve">投标（响应）文件中的电子签章视为供应商对本声明进行了签署盖章并承担相应责任</w:t>
      </w:r>
      <w:r>
        <w:rPr>
          <w:rFonts w:ascii="宋体" w:hAnsi="宋体" w:eastAsia="宋体" w:cs="宋体"/>
          <w:b/>
          <w:color w:val="000000"/>
          <w:sz w:val="21"/>
          <w:highlight w:val="none"/>
        </w:rPr>
        <w:t xml:space="preserve">。</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（5）投标人与其他单位存在直接控股、管理关系情况表</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投标人与其他单位存在直接控股、管理关系情况表</w:t>
      </w:r>
      <w:r/>
    </w:p>
    <w:p>
      <w:pPr>
        <w:ind w:left="0" w:right="0" w:firstLine="4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1425"/>
        <w:gridCol w:w="1259"/>
        <w:gridCol w:w="1321"/>
        <w:gridCol w:w="1204"/>
        <w:gridCol w:w="1431"/>
        <w:gridCol w:w="1060"/>
      </w:tblGrid>
      <w:tr>
        <w:trPr>
          <w:trHeight w:val="76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与投标人存在直接股权关系</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与投标人存在直接管理关系</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是否为大型企业</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是否直接控股</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直接控股关系情况说明</w:t>
            </w:r>
            <w:r>
              <w:rPr>
                <w:rFonts w:ascii="宋体" w:hAnsi="宋体" w:eastAsia="宋体" w:cs="宋体"/>
                <w:b/>
                <w:color w:val="000000"/>
                <w:sz w:val="18"/>
                <w:highlight w:val="none"/>
              </w:rPr>
              <w:t xml:space="preserve">（持股比例等）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是否为大型企业</w:t>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（填写“是”或 “否”）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直接管理关系情况说明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注：1、本表仅须填写与投标人存在直接股权、管理关系的企业情况。投标人应按上表要求据实填写，如填写“无”或不填写，均视为投标人声明不存在有关情形。</w:t>
      </w:r>
      <w:r/>
    </w:p>
    <w:p>
      <w:pPr>
        <w:ind w:left="0" w:right="0" w:firstLine="48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2、其中“直接控股”是指投标人与大型企业之间存在直接投资并控股（非普通持股）的关系。</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05" w:firstLine="21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供应商名称：（加盖CA电子公章）</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（6）投标（响应）保证承诺书</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投标（响应）保证承诺书</w:t>
      </w:r>
      <w:r/>
    </w:p>
    <w:p>
      <w:pPr>
        <w:ind w:left="520" w:right="0" w:firstLine="5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（采购代理机构名称）</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我（单位/本人，以下统称我单位）自愿参加</w:t>
      </w:r>
      <w:r>
        <w:rPr>
          <w:rFonts w:ascii="宋体" w:hAnsi="宋体" w:eastAsia="宋体" w:cs="宋体"/>
          <w:color w:val="000000"/>
          <w:sz w:val="24"/>
          <w:highlight w:val="none"/>
          <w:u w:val="single"/>
        </w:rPr>
        <w:t xml:space="preserve"> （项目名称和采购编号） </w:t>
      </w:r>
      <w:r>
        <w:rPr>
          <w:rFonts w:ascii="宋体" w:hAnsi="宋体" w:eastAsia="宋体" w:cs="宋体"/>
          <w:color w:val="000000"/>
          <w:sz w:val="24"/>
          <w:highlight w:val="none"/>
        </w:rPr>
        <w:t xml:space="preserve">的投标（响应），并做出如下承诺：</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一、除不可抗力外，我单位如果发生以下行为，将在行为发生的10个工作日内，向</w:t>
      </w:r>
      <w:r>
        <w:rPr>
          <w:rFonts w:ascii="宋体" w:hAnsi="宋体" w:eastAsia="宋体" w:cs="宋体"/>
          <w:color w:val="000000"/>
          <w:sz w:val="24"/>
          <w:highlight w:val="none"/>
          <w:u w:val="single"/>
        </w:rPr>
        <w:t xml:space="preserve">采购人</w:t>
      </w:r>
      <w:r>
        <w:rPr>
          <w:rFonts w:ascii="宋体" w:hAnsi="宋体" w:eastAsia="宋体" w:cs="宋体"/>
          <w:color w:val="000000"/>
          <w:sz w:val="24"/>
          <w:highlight w:val="none"/>
        </w:rPr>
        <w:t xml:space="preserve">支付本采购文件公布的预算金额的2%作为违约赔偿金。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1.自投标（响应）截止时间至本项目发布成交（成交）公告为止，撤销投标（响应）；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2.成交（成交）后不依法与采购人签订合同；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二、我单位知晓上述行为的法律后果，承认本承诺书作为贵方</w:t>
      </w:r>
      <w:r>
        <w:rPr>
          <w:rFonts w:ascii="宋体" w:hAnsi="宋体" w:eastAsia="宋体" w:cs="宋体"/>
          <w:color w:val="000000"/>
          <w:sz w:val="24"/>
          <w:highlight w:val="none"/>
          <w:u w:val="single"/>
        </w:rPr>
        <w:t xml:space="preserve">（或采购人）</w:t>
      </w:r>
      <w:r>
        <w:rPr>
          <w:rFonts w:ascii="宋体" w:hAnsi="宋体" w:eastAsia="宋体" w:cs="宋体"/>
          <w:color w:val="000000"/>
          <w:sz w:val="24"/>
          <w:highlight w:val="none"/>
        </w:rPr>
        <w:t xml:space="preserve">要求我单位履行违约赔偿义务的依据作用。</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投标（响应）人：（盖公章）</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电话：传真：</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电子邮件：邮编：</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法定代表人或委托代理人(签字或签章)：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u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pStyle w:val="637"/>
        <w:ind w:left="0" w:right="0" w:firstLine="0"/>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第四章 采购内容</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江苏仁禾中衡工程咨询房地产估价有限公司受苏州革命博物馆的委托，就其所需的党性教育实训基地运营管理项目组织竞争性磋商采购，</w:t>
      </w:r>
      <w:r>
        <w:rPr>
          <w:rFonts w:ascii="宋体" w:hAnsi="宋体" w:eastAsia="宋体" w:cs="宋体"/>
          <w:color w:val="000000"/>
          <w:sz w:val="24"/>
          <w:highlight w:val="none"/>
          <w:u w:val="none"/>
        </w:rPr>
        <w:t xml:space="preserve">欢迎符合条件的供应商</w:t>
      </w:r>
      <w:r>
        <w:rPr>
          <w:rFonts w:ascii="宋体" w:hAnsi="宋体" w:eastAsia="宋体" w:cs="宋体"/>
          <w:color w:val="000000"/>
          <w:sz w:val="24"/>
          <w:highlight w:val="none"/>
        </w:rPr>
        <w:t xml:space="preserve">前来参加磋商。</w:t>
      </w:r>
      <w:r/>
    </w:p>
    <w:p>
      <w:pPr>
        <w:ind w:left="0" w:right="0" w:firstLine="482"/>
        <w:jc w:val="both"/>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一、采购编号：</w:t>
      </w:r>
      <w:r>
        <w:rPr>
          <w:rFonts w:hint="eastAsia" w:ascii="宋体" w:hAnsi="宋体" w:eastAsia="宋体" w:cs="宋体"/>
          <w:b/>
          <w:color w:val="000000"/>
          <w:sz w:val="24"/>
          <w:highlight w:val="none"/>
          <w:lang w:eastAsia="zh-CN"/>
        </w:rPr>
        <w:t xml:space="preserve">JSZC-320500-RHHH-C2026-0025</w:t>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二、采购内容及要求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（一）苏州市党性教育实训基地工作人员需求表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人员要求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人数</w:t>
            </w:r>
            <w:r/>
          </w:p>
        </w:tc>
      </w:tr>
      <w:tr>
        <w:trPr>
          <w:trHeight w:val="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讲解接待员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35周岁及以下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大学本科及以上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中共党员（含预备党员），持有普通话二级甲等及以上证书；身体健康，遵纪守法，无违纪违法记录。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p>
        </w:tc>
      </w:tr>
      <w:tr>
        <w:trPr>
          <w:trHeight w:val="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技术支持工程师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40周岁及以下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大专及以上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持有电工操作证，熟悉计算机网络和多媒体操作及有维护经验优先；身体健康，遵纪守法，无违纪违法记录。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40" w:lineRule="auto"/>
              <w:tabs>
                <w:tab w:val="left" w:pos="420"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r>
    </w:tbl>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（二）用工要求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据采购单位提供的岗位，派遣具有相应任职资格要求的人员从事劳务工作，并办理各种手续。配合做好服务人员的管理工作，协助教育服务人员遵守相关法律、法规和依法制定的规章制度。与服务人员依法签订劳动合同，办理劳动用工、社会保险、住房公积金等事宜。以法定货币形式按月支付服务人员工资，不得克扣或无故拖欠，并执行有关最低工资的规定。办理服务人员工伤申报、伤残鉴定和保险理赔事宜。办理服务人员解除劳动合同、退工退保相关事宜。处理或协助处理服务人员劳动争议、仲裁、诉讼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管理要求：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1、服务人员上岗前须至采购单位处进行面试审核，经采购单位确认后方可上岗。由成交单位负责与服务员工签订劳动合同，确定劳动关系。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2、服务人员必须严格遵守国家有关的法律、法规及行业标准。认真执行采购单位各项制度，不得有损采购单位名誉或利益，保守采购单位商业秘密。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3、服务人员工资按采购单位人力资源部门核定的标准结合采购单位实际工作量测算后，由采购单位统一造册提交到成交单位发放，成交单位必须严格按照采购单位造册清单进行发放，不得无故克扣经费。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4、若服务人员在服务期间内出现的工伤及其他意外事故，由成交单位负责申报，依法应由企业承担的工伤费用由采购单位承担。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成交单位对双方共同确认的符合正式录用条件的人员，在其入职前安排职业道德、岗前技能、劳动纪律及双方相关规章制度的培训和考核，并确保员工已经知悉并了解工作内容、工作职责、违约责任等。岗前培训达100%。</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采购单位负责考核监督成交单位的服务人员工作质量，对服务人员出现工作差错的有权要求扣减工资待遇，对考核不合格或者出现重大责任心事故的服务人员，成交单位必须在规定时间内更换，直至人选合格为止。</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7、发生服务人员退回、解除、终止等涉及《劳动法》、《劳动合同法》规定的经济补偿金事宜的，成交单位应与服务人员做好沟通协调工作，如涉及到经济补偿金等相关费用的由采购单位支付。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rFonts w:ascii="宋体" w:hAnsi="宋体" w:eastAsia="宋体" w:cs="宋体"/>
          <w:color w:val="000000"/>
          <w:sz w:val="24"/>
          <w:highlight w:val="none"/>
          <w:u w:val="none"/>
        </w:rPr>
        <w:t xml:space="preserve">服务人员</w:t>
      </w:r>
      <w:r>
        <w:rPr>
          <w:rFonts w:ascii="宋体" w:hAnsi="宋体" w:eastAsia="宋体" w:cs="宋体"/>
          <w:color w:val="000000"/>
          <w:sz w:val="24"/>
          <w:highlight w:val="none"/>
        </w:rPr>
        <w:t xml:space="preserve">按照采购单位的请假流程执行，需经采购单位审批确认。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9、非经采购单位许可，成交单位不得随意召回其员工（员工主动辞职的除外）、不能随意调换员工工作岗位。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10、成交单位及其员工应保守用人单位的工作秘密，如因成交单位或其员工的原因导致用人单位工作秘密泄露的，成交单位应承担相应的法律责任。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11、采购单位如遇工作需要或因突发事件等因素，而需要服务人员加班时，成交单位应予配合。</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12、成交单位按照合同要求为采购单位提供服务，对服务过程中出现的问题主动及时和采购单位沟通，并提出改善方案，不断提升服务质量。</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13、采购单位提供办公用房。如遇采购单位办公场所调整、迁移或重大政策变化等，采购单位将提前一个月告知成交单位，合同内容经双方协商调整直至终止。</w:t>
      </w:r>
      <w:r/>
    </w:p>
    <w:p>
      <w:pPr>
        <w:ind w:left="0" w:right="0" w:firstLine="482"/>
        <w:jc w:val="both"/>
        <w:spacing w:before="0" w:after="0" w:line="85" w:lineRule="atLeast"/>
        <w:tabs>
          <w:tab w:val="left" w:pos="7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三、综合说明及其他要求</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1、供应商提供的服务能够至少达到以上要求，同时明确详细的服务方案，并对所提供的全部资料的真实性承担法律责任。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2、供应商必须承诺响应采购文件中提出的全部技术规格与要求。如果其中某些条款不响应时，应在文件中逐条列出，未列出的视同响应。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应对所投标段的全部内容进行报价，只投其中部分内容者，其投标（响应）文件将被拒绝。总报价包括但不限于人工、交通、保险、管理费、税金及政策性文件规定费用及合同包含的所有风险、责任等各项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响应单位必须按照《劳动法》及国家、江苏省、苏州市、项目所在地的区政府的有关规定及成交单位的工作开展需求配置服务人员数量，并支付工资、国假加班费和交纳正常的社会保险公积金，不得安排工作人员超时限加班。</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5、服务人员在采购单位管理区域内引发的人身伤亡及财产损失等事故，责任由采购单位全部承担。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6、采购单位应在工作开展期间为服务人员提供必要的劳动保护条件。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7、付款方式：按季支付，在当季度初预支本季度费用，由采购单位收到成交单位发票后支付费用。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8、凡涉及采购文件的补充说明和修改，均以苏州政府采购网发布的内容为准。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第五章 合同主要条款</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left="0" w:right="0" w:firstLine="6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合同主要条款</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依据甲方委托</w:t>
      </w:r>
      <w:r>
        <w:rPr>
          <w:rFonts w:ascii="宋体" w:hAnsi="宋体" w:eastAsia="宋体" w:cs="宋体"/>
          <w:color w:val="000000"/>
          <w:sz w:val="24"/>
          <w:highlight w:val="none"/>
          <w:u w:val="single"/>
        </w:rPr>
        <w:t xml:space="preserve">江苏仁禾中衡工程咨询房地产估价有限公司</w:t>
      </w:r>
      <w:r>
        <w:rPr>
          <w:rFonts w:ascii="宋体" w:hAnsi="宋体" w:eastAsia="宋体" w:cs="宋体"/>
          <w:color w:val="000000"/>
          <w:sz w:val="24"/>
          <w:highlight w:val="none"/>
        </w:rPr>
        <w:t xml:space="preserve">进行本项目政府采购</w:t>
      </w:r>
      <w:r>
        <w:rPr>
          <w:rFonts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u w:val="single"/>
          <w:lang w:eastAsia="zh-CN"/>
        </w:rPr>
        <w:t xml:space="preserve">JSZC-320500-RHHH-C2026-0025</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的采购结果，确定乙方为本次成交供应商，现依照采购文件、乙方的响应文件及相关文件的内容，签订本合同书。</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一、合同标的物和合同价格组成</w:t>
      </w:r>
      <w:r/>
    </w:p>
    <w:p>
      <w:pPr>
        <w:ind w:left="0" w:right="0" w:firstLine="480"/>
        <w:jc w:val="both"/>
        <w:spacing w:before="0" w:after="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1、采购的服务内容概述：详见第四章 采购内容。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2、服务期限：详见第四章采购内容。</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3、合同价款的组成：合同价款包含甲方应付乙方的全部款项。</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二、下列文件为本合同不可分割部分，</w:t>
      </w:r>
      <w:r>
        <w:rPr>
          <w:rFonts w:ascii="宋体" w:hAnsi="宋体" w:eastAsia="宋体" w:cs="宋体"/>
          <w:color w:val="000000"/>
          <w:sz w:val="24"/>
          <w:highlight w:val="none"/>
        </w:rPr>
        <w:t xml:space="preserve">如果合同文件存在歧义或不一致，则根据如下优先次序判断：</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1、成交通知书。</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2、乙方成交的响应文件。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4、乙方在招投标过程中所作的其它承诺、声明、书面澄清等。</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以上与本合同具有同等法律效力，如上述文件与本合同内容存在冲突的，双方认可按照本合同约定内容执行。</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三、合同价格支付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1、合同价格：</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2、付款办法：详见第四章采购内容。</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四、不可抗力</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五、合同的解除和转让</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1、甲方和乙方协商一致，可以解除合同。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2、有下列情形之一，合同一方可以解除合同：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（1）因不可抗力致使不能实现合同目的，未受不可抗力影响的一方有权解除合同。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（2）因合同一方违约导致合同不能履行，另一方有权解除合同。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（3）因乙方在履行合同过程中造成社会不良影响的，甲方有权解除合同。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4、合同的部分和全部都不得转让。</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1、合同一方不履行合同义务或者履行合同义务不符合约定的，应当承担继续履行、采取补救措施或赔偿损失等违约责任。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2、甲方违约责任。甲方未按照约定时间支付合同价款的，应当承担逾期付款违约责任。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（1）甲方有权按照本合同规定对乙方进行考核，并按照考核办法的规定要求乙方承担相应责任。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（2）乙方承担的违约金不足以赔偿甲方实际损失的，甲方有权要求乙方继续赔偿。</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（3）乙方履行合同不符合合同要求的，甲方有权责令乙方立即改正，乙方拒不改正或已经造成不良社会影响的，甲方有权要求乙方承担责任。</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七、争议解决办法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因本合同或与本合同有关的一切事项发生争议，由双方友好协商解决。协商不成的，任何一方均可以向甲方所在地人民法院起诉。</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八、合同生效</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本合同经双方法定代表人或授权代表签字（或盖章）并经单位盖章后生效。</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九、附则</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1、本合同一式</w:t>
      </w:r>
      <w:r>
        <w:rPr>
          <w:rFonts w:ascii="宋体" w:hAnsi="宋体" w:eastAsia="宋体" w:cs="宋体"/>
          <w:color w:val="000000"/>
          <w:sz w:val="24"/>
          <w:highlight w:val="none"/>
          <w:u w:val="single"/>
        </w:rPr>
        <w:t xml:space="preserve"> 叁</w:t>
      </w:r>
      <w:r>
        <w:rPr>
          <w:rFonts w:ascii="宋体" w:hAnsi="宋体" w:eastAsia="宋体" w:cs="宋体"/>
          <w:color w:val="000000"/>
          <w:sz w:val="24"/>
          <w:highlight w:val="none"/>
        </w:rPr>
        <w:t xml:space="preserve">份，甲方、乙方各执</w:t>
      </w:r>
      <w:r>
        <w:rPr>
          <w:rFonts w:ascii="宋体" w:hAnsi="宋体" w:eastAsia="宋体" w:cs="宋体"/>
          <w:color w:val="000000"/>
          <w:sz w:val="24"/>
          <w:highlight w:val="none"/>
          <w:u w:val="single"/>
        </w:rPr>
        <w:t xml:space="preserve"> 壹</w:t>
      </w:r>
      <w:r>
        <w:rPr>
          <w:rFonts w:ascii="宋体" w:hAnsi="宋体" w:eastAsia="宋体" w:cs="宋体"/>
          <w:color w:val="000000"/>
          <w:sz w:val="24"/>
          <w:highlight w:val="none"/>
        </w:rPr>
        <w:t xml:space="preserve">份，采购代理机构</w:t>
      </w:r>
      <w:r>
        <w:rPr>
          <w:rFonts w:ascii="宋体" w:hAnsi="宋体" w:eastAsia="宋体" w:cs="宋体"/>
          <w:color w:val="000000"/>
          <w:sz w:val="24"/>
          <w:highlight w:val="none"/>
          <w:u w:val="single"/>
        </w:rPr>
        <w:t xml:space="preserve"> 壹</w:t>
      </w:r>
      <w:r>
        <w:rPr>
          <w:rFonts w:ascii="宋体" w:hAnsi="宋体" w:eastAsia="宋体" w:cs="宋体"/>
          <w:color w:val="000000"/>
          <w:sz w:val="24"/>
          <w:highlight w:val="none"/>
        </w:rPr>
        <w:t xml:space="preserve">份。</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2、本合同文件使用中文书写、解释和说明。</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3、本合同履行过程中产生的纪要、协议以及中标通知书、投标文件和采购文件为本合同的附件，与合同具有同等效力。</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4、未尽事宜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按《中华人民共和国政府采购法》及其他有关的法律法规的规定执行。</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第六章 评审办法</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一、评审方法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2、评审小组各成员独立对每个进入打分程序的有效供应商的投标（响应）文件技术和资质部分以打分的形式进行评审和评价。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r>
        <w:rPr>
          <w:rFonts w:ascii="宋体" w:hAnsi="宋体" w:eastAsia="宋体" w:cs="宋体"/>
          <w:color w:val="000000"/>
          <w:sz w:val="24"/>
          <w:highlight w:val="none"/>
          <w:u w:val="none"/>
        </w:rPr>
        <w:t xml:space="preserve">采购人</w:t>
      </w:r>
      <w:r>
        <w:rPr>
          <w:rFonts w:ascii="宋体" w:hAnsi="宋体" w:eastAsia="宋体" w:cs="宋体"/>
          <w:color w:val="000000"/>
          <w:sz w:val="24"/>
          <w:highlight w:val="none"/>
        </w:rPr>
        <w:t xml:space="preserve">组织以抽签方式确定优先选取顺序。</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4、评审小组根据采购人的授权，按照中标（成交）候选人的顺序在中标（成交）候选人中直接确定中标（成交）供应商。</w:t>
      </w:r>
      <w:r/>
    </w:p>
    <w:p>
      <w:pPr>
        <w:ind w:left="0" w:right="0" w:firstLine="422"/>
        <w:jc w:val="both"/>
        <w:spacing w:before="0" w:after="0" w:line="418" w:lineRule="atLeast"/>
        <w:tabs>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rFonts w:ascii="宋体" w:hAnsi="宋体" w:eastAsia="宋体" w:cs="宋体"/>
          <w:b/>
          <w:color w:val="000000"/>
          <w:sz w:val="24"/>
          <w:highlight w:val="none"/>
        </w:rPr>
        <w:t xml:space="preserve">评审价格调整的情形及评审价格调整办法：</w:t>
      </w:r>
      <w:r/>
    </w:p>
    <w:p>
      <w:pPr>
        <w:ind w:left="0" w:right="0" w:firstLine="0"/>
        <w:jc w:val="both"/>
        <w:spacing w:before="240" w:after="240"/>
        <w:shd w:val="clear" w:color="ffffff" w:fill="ffffff"/>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f1115"/>
          <w:sz w:val="24"/>
          <w:highlight w:val="none"/>
        </w:rPr>
        <w:t xml:space="preserve">       本项目为</w:t>
      </w:r>
      <w:r>
        <w:rPr>
          <w:rFonts w:ascii="Arial" w:hAnsi="Arial" w:eastAsia="Arial" w:cs="Arial"/>
          <w:b/>
          <w:color w:val="0f1115"/>
          <w:sz w:val="24"/>
          <w:highlight w:val="none"/>
        </w:rPr>
        <w:t xml:space="preserve">专门面向中小企业采购</w:t>
      </w:r>
      <w:r>
        <w:rPr>
          <w:rFonts w:ascii="Arial" w:hAnsi="Arial" w:eastAsia="Arial" w:cs="Arial"/>
          <w:color w:val="0f1115"/>
          <w:sz w:val="24"/>
          <w:highlight w:val="none"/>
        </w:rPr>
        <w:t xml:space="preserve">的项目（根据《政府采购促进中小企业发展管理办法》（财库〔2020〕46号）规定，本项目专门面向中小企业采购，供应商须为中小企（含监狱企业、残疾人福利性单位），并提供《中小企业声明函》或相关证明文件）。</w:t>
      </w:r>
      <w:r/>
    </w:p>
    <w:p>
      <w:pPr>
        <w:ind w:left="0" w:right="0" w:firstLine="0"/>
        <w:jc w:val="both"/>
        <w:spacing w:before="240" w:after="240"/>
        <w:shd w:val="clear" w:color="ffffff" w:fill="ffffff"/>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f1115"/>
          <w:sz w:val="24"/>
          <w:highlight w:val="none"/>
        </w:rPr>
        <w:t xml:space="preserve">根据《政府采购促进中小企业发展管理办法》（财库〔2020〕46号）及财政部相关解读，</w:t>
      </w:r>
      <w:r>
        <w:rPr>
          <w:rFonts w:ascii="Arial" w:hAnsi="Arial" w:eastAsia="Arial" w:cs="Arial"/>
          <w:b/>
          <w:color w:val="0f1115"/>
          <w:sz w:val="24"/>
          <w:highlight w:val="none"/>
        </w:rPr>
        <w:t xml:space="preserve">专门面向中小企业采购的项目，不再执行价格评审优惠的扶持政策</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6、政府采购评审中出现下列情形之一的，评审委员会应当启动异常低价投标（响应）审查程序：</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6.3.投标（响应）报价低于采购项目最高限价45%的，即投标（响应）报价&lt;采购项目最高限价×45%；</w:t>
      </w:r>
      <w:r/>
    </w:p>
    <w:p>
      <w:pPr>
        <w:ind w:left="0" w:right="0" w:firstLine="48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6.4.评审委员会基于专业判断，认为供应商报价过低，有可能影响产品质量或者不能诚信履约的其他情形。</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w:t>
      </w:r>
      <w:r/>
    </w:p>
    <w:p>
      <w:pPr>
        <w:ind w:left="0" w:right="0" w:firstLine="420"/>
        <w:jc w:val="both"/>
        <w:spacing w:before="0" w:after="0" w:line="400" w:lineRule="atLeast"/>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相关法律法规对供应商报价有规定的，从其规定。</w:t>
      </w:r>
      <w:r/>
    </w:p>
    <w:p>
      <w:pPr>
        <w:ind w:left="0" w:right="0" w:firstLine="420"/>
        <w:jc w:val="both"/>
        <w:spacing w:before="0" w:after="0"/>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tabs>
          <w:tab w:val="left" w:pos="525" w:leader="none"/>
          <w:tab w:val="left" w:pos="2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二、评分标准</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（一）价格基准分：</w:t>
      </w:r>
      <w:r>
        <w:rPr>
          <w:rFonts w:ascii="宋体" w:hAnsi="宋体" w:eastAsia="宋体" w:cs="宋体"/>
          <w:b/>
          <w:color w:val="000000"/>
          <w:sz w:val="24"/>
          <w:highlight w:val="none"/>
          <w:u w:val="single"/>
        </w:rPr>
        <w:t xml:space="preserve">10</w:t>
      </w:r>
      <w:r>
        <w:rPr>
          <w:rFonts w:ascii="宋体" w:hAnsi="宋体" w:eastAsia="宋体" w:cs="宋体"/>
          <w:b/>
          <w:color w:val="000000"/>
          <w:sz w:val="24"/>
          <w:highlight w:val="none"/>
        </w:rPr>
        <w:t xml:space="preserve">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第一步：磋商报价低于或等于财政预算（最高限价）</w:t>
      </w:r>
      <w:r>
        <w:rPr>
          <w:rFonts w:ascii="宋体" w:hAnsi="宋体" w:eastAsia="宋体" w:cs="宋体"/>
          <w:color w:val="000000"/>
          <w:sz w:val="24"/>
          <w:highlight w:val="none"/>
          <w:u w:val="none"/>
        </w:rPr>
        <w:t xml:space="preserve">的</w:t>
      </w:r>
      <w:r>
        <w:rPr>
          <w:rFonts w:ascii="宋体" w:hAnsi="宋体" w:eastAsia="宋体" w:cs="宋体"/>
          <w:color w:val="000000"/>
          <w:sz w:val="24"/>
          <w:highlight w:val="none"/>
        </w:rPr>
        <w:t xml:space="preserve">，为有效磋商报价。</w:t>
      </w:r>
      <w:r>
        <w:rPr>
          <w:rFonts w:ascii="宋体" w:hAnsi="宋体" w:eastAsia="宋体" w:cs="宋体"/>
          <w:color w:val="000000"/>
          <w:sz w:val="24"/>
          <w:highlight w:val="none"/>
          <w:u w:val="none"/>
        </w:rPr>
        <w:t xml:space="preserve">超出财政预算（最高限价）的磋商报价文件为未实质性</w:t>
      </w:r>
      <w:r>
        <w:rPr>
          <w:rFonts w:ascii="宋体" w:hAnsi="宋体" w:eastAsia="宋体" w:cs="宋体"/>
          <w:color w:val="000000"/>
          <w:sz w:val="24"/>
          <w:highlight w:val="none"/>
        </w:rPr>
        <w:t xml:space="preserve">投标（响应）文件，不参与评审。</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第二步：满足采购文件要求，且磋商价格最低的磋商报价为评标基准价，其价格分为满分，即</w:t>
      </w:r>
      <w:r>
        <w:rPr>
          <w:rFonts w:ascii="宋体" w:hAnsi="宋体" w:eastAsia="宋体" w:cs="宋体"/>
          <w:color w:val="000000"/>
          <w:sz w:val="24"/>
          <w:highlight w:val="none"/>
          <w:u w:val="single"/>
        </w:rPr>
        <w:t xml:space="preserve">10</w:t>
      </w:r>
      <w:r>
        <w:rPr>
          <w:rFonts w:ascii="宋体" w:hAnsi="宋体" w:eastAsia="宋体" w:cs="宋体"/>
          <w:color w:val="000000"/>
          <w:sz w:val="24"/>
          <w:highlight w:val="none"/>
        </w:rPr>
        <w:t xml:space="preserve">分。其他报价得分统一按照下列公式计算（计算结果四舍五入，保留两位小数）：</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磋商报价得分＝（评标基准价/有效磋商报价）×10%×100。</w:t>
      </w:r>
      <w:r/>
    </w:p>
    <w:p>
      <w:pPr>
        <w:numPr>
          <w:ilvl w:val="0"/>
          <w:numId w:val="1"/>
        </w:numPr>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技术部分：</w:t>
      </w:r>
      <w:r>
        <w:rPr>
          <w:rFonts w:ascii="宋体" w:hAnsi="宋体" w:eastAsia="宋体" w:cs="宋体"/>
          <w:b/>
          <w:color w:val="000000"/>
          <w:sz w:val="24"/>
          <w:highlight w:val="none"/>
          <w:u w:val="single"/>
        </w:rPr>
        <w:t xml:space="preserve">70</w:t>
      </w:r>
      <w:r>
        <w:rPr>
          <w:rFonts w:ascii="宋体" w:hAnsi="宋体" w:eastAsia="宋体" w:cs="宋体"/>
          <w:b/>
          <w:color w:val="000000"/>
          <w:sz w:val="24"/>
          <w:highlight w:val="none"/>
        </w:rPr>
        <w:t xml:space="preserve">分</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对本项目的需求理解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对项目服务目标的理解清晰明确，能达到拟定的服务要求，响应服务方案科学合理、可操作性强的，得10分；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对项目服务目标的理解基本清晰明确，基本能达到拟定的服务要求，响应服务方案较科学合理的，得8分；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对项目服务目标理解程度及响应服务方案的科学合理性均一般的，得6分；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对项目服务目标理解程度及响应服务方案的科学合理性均较差的，得4分；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0/4/6/8/10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项目总体实施方案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对供应商综合服务实施方案进行综合比较：</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综合服务实施方案详细、完整、可行，符合采购人的实际情况，且具有针对性的，得10分；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综合服务实施方案较详细、完整、可行，基本符合采购人的实际情况，较有针对性的，得8分；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综合服务实施方案的详细程度、完整性、可行性及针对性一般的，得6分；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综合服务实施方案不符合采购人的实际情况，没针对性，可行性较差的，得4分；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0/4/6/8/10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团队管理方案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项目团队架构清晰，设置合理，工作人员岗位、职责明确，有合理的自查与绩效考核制度的，得10分；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项目团队架构较清晰，设置较合理，人员岗位职责划分合理的，得6分；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团队架构简单，职责划分可行的，得4分；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架构不合理，职责划分含糊或无具体描述的不得分。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突发事件的应急措施方案比较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突发事件的应急措施方案完整且针对性、可行性强的，得10分；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方案较完整且针对性、可行性较强的，得6分；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方案不完整，针对性、可行性一般的，得4分；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管理规章制度比较（岗位责任、管理运作制度及标准、管理人员考核制度及标准）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岗位责任明确、管理运作制度及标准合理、管理人员考核制度及标准规范的，得10分；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岗位责任较明确、管理运作制度及标准较合理、管理人员考核制度及标准较规范的，得6分；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岗位责任不明确、管理运作制度及标准不合理、管理人员考核制度及标准不规范的，得4分；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提供详细完整保障服务的方案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方案详尽、科学合理、操作性强的，得10分；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方案完善，操作性较强的，得6分；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方案简单、操作性一般的，得4分；</w:t>
            </w:r>
            <w:r/>
          </w:p>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方案较差或无具体描述的不得分。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0/4/6/10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响应单位拟派项目负责人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具有本科及以上学历；②具有人力资源相关职业资格、职业技能等级或专业技术资格证书，每符合一项得2分，最高得4分。响应文件中提供相关证书扫描件及响应单位为其缴纳的近期社保证明扫描件，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响应单位服务团队（不含项目负责人）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有人力资源相关职业资格、职业技能等级或专业技术资格证书，每提供一人得1分，最高得6分，每人只计一次，不重复得分。响应文件中提供相关证书扫描件及响应单位为其缴纳的近期社保证明扫描件，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（三）商务部分：</w:t>
      </w:r>
      <w:r>
        <w:rPr>
          <w:rFonts w:ascii="宋体" w:hAnsi="宋体" w:eastAsia="宋体" w:cs="宋体"/>
          <w:b/>
          <w:color w:val="000000"/>
          <w:sz w:val="24"/>
          <w:highlight w:val="none"/>
          <w:u w:val="single"/>
        </w:rPr>
        <w:t xml:space="preserve">20</w:t>
      </w:r>
      <w:r>
        <w:rPr>
          <w:rFonts w:ascii="宋体" w:hAnsi="宋体" w:eastAsia="宋体" w:cs="宋体"/>
          <w:b/>
          <w:color w:val="000000"/>
          <w:sz w:val="24"/>
          <w:highlight w:val="none"/>
        </w:rPr>
        <w:t xml:space="preserve">分</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综合实力1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响应单位自2023年1月1日至今承担过类似项目的，有一份得3分，最高得12分。响应文件中提供相关完整合同扫描件，未提供或提供不全的不得分。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综合实力2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响应单位自2023年1月1日至今获得过市级及以上荣誉或表彰的，有一个得2分，最高得8分。响应文件中提供相关证书等证明材料扫描件，未提供不得分。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r>
    </w:tbl>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三、政府采购政策：</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（一）中、小企业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1、本项目属于专门面向中小企业的项目。</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2、本项目采购标的对应的中小企业划分标准所属行业为</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，承接服务的供应商应为中小微企业、监狱企业、残疾人福利性单位。中小微企业划型标准根据《中小企业划型标准规定》（工信部联企业【2011】300号）。</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4、中小企业参加政府采购活动，应当出具《政府采购促进中小企业发展管理办法》附件规定《中小企业声明函》，否则不得享受相关中小企业扶持政策。</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6、若供应商提供的《中小企业声明函》为虚假声明则视同提供虚假材料，按政府采购相关规定处理并报请政府监管部门给予行政处罚。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（二）残疾人福利性单位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（三）监狱企业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第七章 附件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附件1：政府采购合同信用融资政策告知函</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附件2：中小企业相关要求</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附件3：中小企业划型标准规定（工信部联企业〔2011〕300号）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政府采购合同信用融资政策告知函</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各政府采购供应商：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欢迎贵公司参加苏州市政府采购活动！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中小企业相关要求</w:t>
      </w:r>
      <w:r/>
    </w:p>
    <w:p>
      <w:pPr>
        <w:ind w:left="420" w:right="0" w:firstLine="420"/>
        <w:jc w:val="both"/>
        <w:spacing w:before="210" w:after="120" w:line="520"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1、在服务采购项目中，服务由中小企业承接，即提供服务的人员为中小企业依照《中华人民共和国劳动合同法》订立劳动合同的从业人员。</w:t>
      </w:r>
      <w:r>
        <w:rPr>
          <w:rFonts w:ascii="宋体" w:hAnsi="宋体" w:eastAsia="宋体" w:cs="宋体"/>
          <w:b/>
          <w:color w:val="000000"/>
          <w:sz w:val="24"/>
          <w:highlight w:val="none"/>
        </w:rPr>
        <w:t xml:space="preserve">服务类项目中供应商若使用退休人员，将不享受相应扶持政策。</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2、《中小企业声明函》中所填的行业应与本采购标的对应的中小企业划分标准所属行业一致，不一致的不可享受相应政策优惠。</w:t>
      </w:r>
      <w:r>
        <w:rPr>
          <w:rFonts w:ascii="宋体" w:hAnsi="宋体" w:eastAsia="宋体" w:cs="宋体"/>
          <w:b/>
          <w:color w:val="000000"/>
          <w:sz w:val="24"/>
          <w:highlight w:val="none"/>
        </w:rPr>
        <w:t xml:space="preserve">本采购标的对应的中小企业划分标准所属行业，以采购文件中具体规定为准。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ascii="宋体" w:hAnsi="宋体" w:eastAsia="宋体" w:cs="宋体"/>
          <w:b/>
          <w:color w:val="000000"/>
          <w:sz w:val="24"/>
          <w:highlight w:val="none"/>
        </w:rPr>
        <w:t xml:space="preserve">如未对（中型企业、小型企业、微型企业）进行勾选，视同非中小微企业，不可享受相应扶持政策</w:t>
      </w:r>
      <w:r>
        <w:rPr>
          <w:rFonts w:ascii="宋体" w:hAnsi="宋体" w:eastAsia="宋体" w:cs="宋体"/>
          <w:color w:val="000000"/>
          <w:sz w:val="24"/>
          <w:highlight w:val="none"/>
        </w:rPr>
        <w:t xml:space="preserve">。</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4、中标（成交）单位为中小企业的，《中小企业声明函》将随中标（成交）结果同时公告。</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附件3：</w:t>
      </w:r>
      <w:r/>
    </w:p>
    <w:p>
      <w:pPr>
        <w:ind w:left="0" w:right="0" w:firstLine="0"/>
        <w:jc w:val="center"/>
        <w:spacing w:before="21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中小企业划型标准规定（工信部联企业〔2011〕300号）</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（一）农、林、牧、渔业。</w:t>
      </w:r>
      <w:r>
        <w:rPr>
          <w:rFonts w:ascii="宋体" w:hAnsi="宋体" w:eastAsia="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（二）工业。</w:t>
      </w:r>
      <w:r>
        <w:rPr>
          <w:rFonts w:ascii="宋体" w:hAnsi="宋体" w:eastAsia="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（三）建筑业。</w:t>
      </w:r>
      <w:r>
        <w:rPr>
          <w:rFonts w:ascii="宋体" w:hAnsi="宋体" w:eastAsia="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（四）批发业。</w:t>
      </w:r>
      <w:r>
        <w:rPr>
          <w:rFonts w:ascii="宋体" w:hAnsi="宋体" w:eastAsia="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（五）零售业。</w:t>
      </w:r>
      <w:r>
        <w:rPr>
          <w:rFonts w:ascii="宋体" w:hAnsi="宋体" w:eastAsia="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（六）交通运输业。</w:t>
      </w:r>
      <w:r>
        <w:rPr>
          <w:rFonts w:ascii="宋体" w:hAnsi="宋体" w:eastAsia="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（七）仓储业。</w:t>
      </w:r>
      <w:r>
        <w:rPr>
          <w:rFonts w:ascii="宋体" w:hAnsi="宋体" w:eastAsia="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（八）邮政业。</w:t>
      </w:r>
      <w:r>
        <w:rPr>
          <w:rFonts w:ascii="宋体" w:hAnsi="宋体" w:eastAsia="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（九）住宿业。</w:t>
      </w:r>
      <w:r>
        <w:rPr>
          <w:rFonts w:ascii="宋体" w:hAnsi="宋体" w:eastAsia="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（十）餐饮业。</w:t>
      </w:r>
      <w:r>
        <w:rPr>
          <w:rFonts w:ascii="宋体" w:hAnsi="宋体" w:eastAsia="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（十一）信息传输业。</w:t>
      </w:r>
      <w:r>
        <w:rPr>
          <w:rFonts w:ascii="宋体" w:hAnsi="宋体" w:eastAsia="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（十二）软件和信息技术服务业。</w:t>
      </w:r>
      <w:r>
        <w:rPr>
          <w:rFonts w:ascii="宋体" w:hAnsi="宋体" w:eastAsia="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（十三）房地产开发经营。</w:t>
      </w:r>
      <w:r>
        <w:rPr>
          <w:rFonts w:ascii="宋体" w:hAnsi="宋体" w:eastAsia="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（十四）物业管理。</w:t>
      </w:r>
      <w:r>
        <w:rPr>
          <w:rFonts w:ascii="宋体" w:hAnsi="宋体" w:eastAsia="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（十五）租赁和商务服务业。</w:t>
      </w:r>
      <w:r>
        <w:rPr>
          <w:rFonts w:ascii="宋体" w:hAnsi="宋体" w:eastAsia="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（十六）其他未列明行业。</w:t>
      </w:r>
      <w:r>
        <w:rPr>
          <w:rFonts w:ascii="宋体" w:hAnsi="宋体" w:eastAsia="宋体" w:cs="宋体"/>
          <w:color w:val="000000"/>
          <w:sz w:val="24"/>
          <w:highlight w:val="none"/>
        </w:rPr>
        <w:t xml:space="preserve">从业人员300人以下的为中小微型企业。其中，从业人员100人及以上的为中型企业；从业人员10人及以上的为小型企业；从业人员10人以下的为微型企业。</w:t>
      </w:r>
      <w:r/>
    </w:p>
    <w:p>
      <w:pPr>
        <w:ind w:left="0" w:right="0" w:firstLine="482"/>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（全文完）</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highlight w:val="none"/>
        </w:rPr>
        <w:t xml:space="preserve"> </w:t>
      </w:r>
      <w:r/>
    </w:p>
    <w:p>
      <w:pPr>
        <w:rPr>
          <w:highlight w:val="none"/>
        </w:rPr>
      </w:pP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宋体">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rPr>
      <w:sz w:val="21"/>
      <w:szCs w:val="22"/>
    </w:rPr>
  </w:style>
  <w:style w:type="paragraph" w:styleId="637">
    <w:name w:val="Heading 1"/>
    <w:link w:val="669"/>
    <w:uiPriority w:val="9"/>
    <w:qFormat/>
    <w:pPr>
      <w:keepLines/>
      <w:keepNext/>
      <w:spacing w:before="480" w:after="200"/>
      <w:outlineLvl w:val="0"/>
    </w:pPr>
    <w:rPr>
      <w:rFonts w:ascii="Arial" w:hAnsi="Arial" w:eastAsia="Arial" w:cs="Arial"/>
      <w:sz w:val="40"/>
      <w:szCs w:val="40"/>
    </w:rPr>
  </w:style>
  <w:style w:type="paragraph" w:styleId="638">
    <w:name w:val="Heading 2"/>
    <w:link w:val="670"/>
    <w:uiPriority w:val="9"/>
    <w:unhideWhenUsed/>
    <w:qFormat/>
    <w:pPr>
      <w:keepLines/>
      <w:keepNext/>
      <w:spacing w:before="360" w:after="200"/>
      <w:outlineLvl w:val="1"/>
    </w:pPr>
    <w:rPr>
      <w:rFonts w:ascii="Arial" w:hAnsi="Arial" w:eastAsia="Arial" w:cs="Arial"/>
      <w:sz w:val="34"/>
      <w:szCs w:val="22"/>
    </w:rPr>
  </w:style>
  <w:style w:type="paragraph" w:styleId="639">
    <w:name w:val="Heading 3"/>
    <w:link w:val="671"/>
    <w:uiPriority w:val="9"/>
    <w:unhideWhenUsed/>
    <w:qFormat/>
    <w:pPr>
      <w:keepLines/>
      <w:keepNext/>
      <w:spacing w:before="320" w:after="200"/>
      <w:outlineLvl w:val="2"/>
    </w:pPr>
    <w:rPr>
      <w:rFonts w:ascii="Arial" w:hAnsi="Arial" w:eastAsia="Arial" w:cs="Arial"/>
      <w:sz w:val="30"/>
      <w:szCs w:val="30"/>
    </w:rPr>
  </w:style>
  <w:style w:type="paragraph" w:styleId="640">
    <w:name w:val="Heading 4"/>
    <w:link w:val="672"/>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link w:val="673"/>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link w:val="674"/>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link w:val="676"/>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link w:val="677"/>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uiPriority w:val="39"/>
    <w:unhideWhenUsed/>
    <w:qFormat/>
    <w:pPr>
      <w:ind w:left="1701" w:right="0" w:firstLine="0"/>
      <w:spacing w:after="57"/>
    </w:pPr>
    <w:rPr>
      <w:sz w:val="21"/>
      <w:szCs w:val="22"/>
    </w:rPr>
  </w:style>
  <w:style w:type="paragraph" w:styleId="649">
    <w:name w:val="Caption"/>
    <w:uiPriority w:val="35"/>
    <w:semiHidden/>
    <w:unhideWhenUsed/>
    <w:qFormat/>
    <w:pPr>
      <w:spacing w:line="276" w:lineRule="auto"/>
    </w:pPr>
    <w:rPr>
      <w:b/>
      <w:bCs/>
      <w:color w:val="4f81bd" w:themeColor="accent1"/>
      <w:sz w:val="18"/>
      <w:szCs w:val="18"/>
    </w:rPr>
  </w:style>
  <w:style w:type="paragraph" w:styleId="650">
    <w:name w:val="toc 5"/>
    <w:uiPriority w:val="39"/>
    <w:unhideWhenUsed/>
    <w:qFormat/>
    <w:pPr>
      <w:ind w:left="1134" w:right="0" w:firstLine="0"/>
      <w:spacing w:after="57"/>
    </w:pPr>
    <w:rPr>
      <w:sz w:val="21"/>
      <w:szCs w:val="22"/>
    </w:rPr>
  </w:style>
  <w:style w:type="paragraph" w:styleId="651">
    <w:name w:val="toc 3"/>
    <w:uiPriority w:val="39"/>
    <w:unhideWhenUsed/>
    <w:qFormat/>
    <w:pPr>
      <w:ind w:left="567" w:right="0" w:firstLine="0"/>
      <w:spacing w:after="57"/>
    </w:pPr>
    <w:rPr>
      <w:sz w:val="21"/>
      <w:szCs w:val="22"/>
    </w:rPr>
  </w:style>
  <w:style w:type="paragraph" w:styleId="652">
    <w:name w:val="toc 8"/>
    <w:uiPriority w:val="39"/>
    <w:unhideWhenUsed/>
    <w:qFormat/>
    <w:pPr>
      <w:ind w:left="1984" w:right="0" w:firstLine="0"/>
      <w:spacing w:after="57"/>
    </w:pPr>
    <w:rPr>
      <w:sz w:val="21"/>
      <w:szCs w:val="22"/>
    </w:rPr>
  </w:style>
  <w:style w:type="paragraph" w:styleId="653">
    <w:name w:val="endnote text"/>
    <w:link w:val="815"/>
    <w:uiPriority w:val="99"/>
    <w:semiHidden/>
    <w:unhideWhenUsed/>
    <w:qFormat/>
    <w:pPr>
      <w:spacing w:after="0" w:line="240" w:lineRule="auto"/>
    </w:pPr>
    <w:rPr>
      <w:sz w:val="20"/>
      <w:szCs w:val="22"/>
    </w:rPr>
  </w:style>
  <w:style w:type="paragraph" w:styleId="654">
    <w:name w:val="Footer"/>
    <w:link w:val="688"/>
    <w:uiPriority w:val="99"/>
    <w:unhideWhenUsed/>
    <w:qFormat/>
    <w:pPr>
      <w:spacing w:after="0" w:line="240" w:lineRule="auto"/>
      <w:tabs>
        <w:tab w:val="center" w:pos="7143" w:leader="none"/>
        <w:tab w:val="right" w:pos="14287" w:leader="none"/>
      </w:tabs>
    </w:pPr>
    <w:rPr>
      <w:sz w:val="21"/>
      <w:szCs w:val="22"/>
    </w:rPr>
  </w:style>
  <w:style w:type="paragraph" w:styleId="655">
    <w:name w:val="Header"/>
    <w:link w:val="686"/>
    <w:uiPriority w:val="99"/>
    <w:unhideWhenUsed/>
    <w:qFormat/>
    <w:pPr>
      <w:spacing w:after="0" w:line="240" w:lineRule="auto"/>
      <w:tabs>
        <w:tab w:val="center" w:pos="7143" w:leader="none"/>
        <w:tab w:val="right" w:pos="14287" w:leader="none"/>
      </w:tabs>
    </w:pPr>
    <w:rPr>
      <w:sz w:val="21"/>
      <w:szCs w:val="22"/>
    </w:rPr>
  </w:style>
  <w:style w:type="paragraph" w:styleId="656">
    <w:name w:val="toc 1"/>
    <w:uiPriority w:val="39"/>
    <w:unhideWhenUsed/>
    <w:qFormat/>
    <w:pPr>
      <w:ind w:left="0" w:right="0" w:firstLine="0"/>
      <w:spacing w:after="57"/>
    </w:pPr>
    <w:rPr>
      <w:sz w:val="21"/>
      <w:szCs w:val="22"/>
    </w:rPr>
  </w:style>
  <w:style w:type="paragraph" w:styleId="657">
    <w:name w:val="toc 4"/>
    <w:uiPriority w:val="39"/>
    <w:unhideWhenUsed/>
    <w:qFormat/>
    <w:pPr>
      <w:ind w:left="850" w:right="0" w:firstLine="0"/>
      <w:spacing w:after="57"/>
    </w:pPr>
    <w:rPr>
      <w:sz w:val="21"/>
      <w:szCs w:val="22"/>
    </w:rPr>
  </w:style>
  <w:style w:type="paragraph" w:styleId="658">
    <w:name w:val="Subtitle"/>
    <w:link w:val="681"/>
    <w:uiPriority w:val="11"/>
    <w:qFormat/>
    <w:pPr>
      <w:spacing w:before="200" w:after="200"/>
    </w:pPr>
    <w:rPr>
      <w:sz w:val="24"/>
      <w:szCs w:val="24"/>
    </w:rPr>
  </w:style>
  <w:style w:type="paragraph" w:styleId="659">
    <w:name w:val="footnote text"/>
    <w:link w:val="814"/>
    <w:uiPriority w:val="99"/>
    <w:semiHidden/>
    <w:unhideWhenUsed/>
    <w:qFormat/>
    <w:pPr>
      <w:spacing w:after="40" w:line="240" w:lineRule="auto"/>
    </w:pPr>
    <w:rPr>
      <w:sz w:val="18"/>
      <w:szCs w:val="22"/>
    </w:rPr>
  </w:style>
  <w:style w:type="paragraph" w:styleId="660">
    <w:name w:val="toc 6"/>
    <w:uiPriority w:val="39"/>
    <w:unhideWhenUsed/>
    <w:qFormat/>
    <w:pPr>
      <w:ind w:left="1417" w:right="0" w:firstLine="0"/>
      <w:spacing w:after="57"/>
    </w:pPr>
    <w:rPr>
      <w:sz w:val="21"/>
      <w:szCs w:val="22"/>
    </w:rPr>
  </w:style>
  <w:style w:type="paragraph" w:styleId="661">
    <w:name w:val="table of figures"/>
    <w:uiPriority w:val="99"/>
    <w:unhideWhenUsed/>
    <w:qFormat/>
    <w:pPr>
      <w:spacing w:after="0" w:afterAutospacing="0"/>
    </w:pPr>
    <w:rPr>
      <w:sz w:val="21"/>
      <w:szCs w:val="22"/>
    </w:rPr>
  </w:style>
  <w:style w:type="paragraph" w:styleId="662">
    <w:name w:val="toc 2"/>
    <w:uiPriority w:val="39"/>
    <w:unhideWhenUsed/>
    <w:qFormat/>
    <w:pPr>
      <w:ind w:left="283" w:right="0" w:firstLine="0"/>
      <w:spacing w:after="57"/>
    </w:pPr>
    <w:rPr>
      <w:sz w:val="21"/>
      <w:szCs w:val="22"/>
    </w:rPr>
  </w:style>
  <w:style w:type="paragraph" w:styleId="663">
    <w:name w:val="toc 9"/>
    <w:uiPriority w:val="39"/>
    <w:unhideWhenUsed/>
    <w:qFormat/>
    <w:pPr>
      <w:ind w:left="2268" w:right="0" w:firstLine="0"/>
      <w:spacing w:after="57"/>
    </w:pPr>
    <w:rPr>
      <w:sz w:val="21"/>
      <w:szCs w:val="22"/>
    </w:rPr>
  </w:style>
  <w:style w:type="paragraph" w:styleId="664">
    <w:name w:val="Title"/>
    <w:link w:val="680"/>
    <w:uiPriority w:val="10"/>
    <w:qFormat/>
    <w:pPr>
      <w:contextualSpacing/>
      <w:spacing w:before="300" w:after="200"/>
    </w:pPr>
    <w:rPr>
      <w:sz w:val="48"/>
      <w:szCs w:val="48"/>
    </w:rPr>
  </w:style>
  <w:style w:type="table" w:styleId="6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ndnote reference"/>
    <w:uiPriority w:val="99"/>
    <w:semiHidden/>
    <w:unhideWhenUsed/>
    <w:qFormat/>
    <w:rPr>
      <w:vertAlign w:val="superscript"/>
    </w:rPr>
  </w:style>
  <w:style w:type="character" w:styleId="667">
    <w:name w:val="Hyperlink"/>
    <w:uiPriority w:val="99"/>
    <w:unhideWhenUsed/>
    <w:qFormat/>
    <w:rPr>
      <w:color w:val="0000ff" w:themeColor="hyperlink"/>
      <w:u w:val="single"/>
    </w:rPr>
  </w:style>
  <w:style w:type="character" w:styleId="668">
    <w:name w:val="footnote reference"/>
    <w:uiPriority w:val="99"/>
    <w:unhideWhenUsed/>
    <w:qFormat/>
    <w:rPr>
      <w:vertAlign w:val="superscript"/>
    </w:rPr>
  </w:style>
  <w:style w:type="character" w:styleId="669" w:customStyle="1">
    <w:name w:val="Heading 1 Char"/>
    <w:link w:val="637"/>
    <w:uiPriority w:val="9"/>
    <w:qFormat/>
    <w:rPr>
      <w:rFonts w:ascii="Arial" w:hAnsi="Arial" w:eastAsia="Arial" w:cs="Arial"/>
      <w:sz w:val="40"/>
      <w:szCs w:val="40"/>
    </w:rPr>
  </w:style>
  <w:style w:type="character" w:styleId="670" w:customStyle="1">
    <w:name w:val="Heading 2 Char"/>
    <w:link w:val="638"/>
    <w:uiPriority w:val="9"/>
    <w:qFormat/>
    <w:rPr>
      <w:rFonts w:ascii="Arial" w:hAnsi="Arial" w:eastAsia="Arial" w:cs="Arial"/>
      <w:sz w:val="34"/>
    </w:rPr>
  </w:style>
  <w:style w:type="character" w:styleId="671" w:customStyle="1">
    <w:name w:val="Heading 3 Char"/>
    <w:link w:val="639"/>
    <w:uiPriority w:val="9"/>
    <w:qFormat/>
    <w:rPr>
      <w:rFonts w:ascii="Arial" w:hAnsi="Arial" w:eastAsia="Arial" w:cs="Arial"/>
      <w:sz w:val="30"/>
      <w:szCs w:val="30"/>
    </w:rPr>
  </w:style>
  <w:style w:type="character" w:styleId="672" w:customStyle="1">
    <w:name w:val="Heading 4 Char"/>
    <w:link w:val="640"/>
    <w:uiPriority w:val="9"/>
    <w:qFormat/>
    <w:rPr>
      <w:rFonts w:ascii="Arial" w:hAnsi="Arial" w:eastAsia="Arial" w:cs="Arial"/>
      <w:b/>
      <w:bCs/>
      <w:sz w:val="26"/>
      <w:szCs w:val="26"/>
    </w:rPr>
  </w:style>
  <w:style w:type="character" w:styleId="673" w:customStyle="1">
    <w:name w:val="Heading 5 Char"/>
    <w:link w:val="641"/>
    <w:uiPriority w:val="9"/>
    <w:qFormat/>
    <w:rPr>
      <w:rFonts w:ascii="Arial" w:hAnsi="Arial" w:eastAsia="Arial" w:cs="Arial"/>
      <w:b/>
      <w:bCs/>
      <w:sz w:val="24"/>
      <w:szCs w:val="24"/>
    </w:rPr>
  </w:style>
  <w:style w:type="character" w:styleId="674" w:customStyle="1">
    <w:name w:val="Heading 6 Char"/>
    <w:link w:val="642"/>
    <w:uiPriority w:val="9"/>
    <w:qFormat/>
    <w:rPr>
      <w:rFonts w:ascii="Arial" w:hAnsi="Arial" w:eastAsia="Arial" w:cs="Arial"/>
      <w:b/>
      <w:bCs/>
      <w:sz w:val="22"/>
      <w:szCs w:val="22"/>
    </w:rPr>
  </w:style>
  <w:style w:type="character" w:styleId="675" w:customStyle="1">
    <w:name w:val="Heading 7 Char"/>
    <w:link w:val="643"/>
    <w:uiPriority w:val="9"/>
    <w:qFormat/>
    <w:rPr>
      <w:rFonts w:ascii="Arial" w:hAnsi="Arial" w:eastAsia="Arial" w:cs="Arial"/>
      <w:b/>
      <w:bCs/>
      <w:i/>
      <w:iCs/>
      <w:sz w:val="22"/>
      <w:szCs w:val="22"/>
    </w:rPr>
  </w:style>
  <w:style w:type="character" w:styleId="676" w:customStyle="1">
    <w:name w:val="Heading 8 Char"/>
    <w:link w:val="644"/>
    <w:uiPriority w:val="9"/>
    <w:qFormat/>
    <w:rPr>
      <w:rFonts w:ascii="Arial" w:hAnsi="Arial" w:eastAsia="Arial" w:cs="Arial"/>
      <w:i/>
      <w:iCs/>
      <w:sz w:val="22"/>
      <w:szCs w:val="22"/>
    </w:rPr>
  </w:style>
  <w:style w:type="character" w:styleId="677" w:customStyle="1">
    <w:name w:val="Heading 9 Char"/>
    <w:link w:val="645"/>
    <w:uiPriority w:val="9"/>
    <w:qFormat/>
    <w:rPr>
      <w:rFonts w:ascii="Arial" w:hAnsi="Arial" w:eastAsia="Arial" w:cs="Arial"/>
      <w:i/>
      <w:iCs/>
      <w:sz w:val="21"/>
      <w:szCs w:val="21"/>
    </w:rPr>
  </w:style>
  <w:style w:type="paragraph" w:styleId="678">
    <w:name w:val="List Paragraph"/>
    <w:uiPriority w:val="34"/>
    <w:qFormat/>
    <w:pPr>
      <w:contextualSpacing/>
      <w:ind w:left="720"/>
    </w:pPr>
    <w:rPr>
      <w:sz w:val="21"/>
      <w:szCs w:val="22"/>
    </w:rPr>
  </w:style>
  <w:style w:type="paragraph" w:styleId="679">
    <w:name w:val="No Spacing"/>
    <w:uiPriority w:val="1"/>
    <w:qFormat/>
    <w:pPr>
      <w:spacing w:before="0" w:after="0" w:line="240" w:lineRule="auto"/>
    </w:pPr>
    <w:rPr>
      <w:sz w:val="21"/>
      <w:szCs w:val="22"/>
    </w:rPr>
  </w:style>
  <w:style w:type="character" w:styleId="680" w:customStyle="1">
    <w:name w:val="Title Char"/>
    <w:link w:val="664"/>
    <w:uiPriority w:val="10"/>
    <w:qFormat/>
    <w:rPr>
      <w:sz w:val="48"/>
      <w:szCs w:val="48"/>
    </w:rPr>
  </w:style>
  <w:style w:type="character" w:styleId="681" w:customStyle="1">
    <w:name w:val="Subtitle Char"/>
    <w:link w:val="658"/>
    <w:uiPriority w:val="11"/>
    <w:qFormat/>
    <w:rPr>
      <w:sz w:val="24"/>
      <w:szCs w:val="24"/>
    </w:rPr>
  </w:style>
  <w:style w:type="paragraph" w:styleId="682">
    <w:name w:val="Quote"/>
    <w:link w:val="683"/>
    <w:uiPriority w:val="29"/>
    <w:qFormat/>
    <w:pPr>
      <w:ind w:left="720" w:right="720"/>
    </w:pPr>
    <w:rPr>
      <w:i/>
      <w:sz w:val="21"/>
      <w:szCs w:val="22"/>
    </w:rPr>
  </w:style>
  <w:style w:type="character" w:styleId="683" w:customStyle="1">
    <w:name w:val="Quote Char"/>
    <w:link w:val="682"/>
    <w:uiPriority w:val="29"/>
    <w:qFormat/>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sz w:val="21"/>
      <w:szCs w:val="22"/>
    </w:rPr>
  </w:style>
  <w:style w:type="character" w:styleId="685" w:customStyle="1">
    <w:name w:val="Intense Quote Char"/>
    <w:link w:val="684"/>
    <w:uiPriority w:val="30"/>
    <w:qFormat/>
    <w:rPr>
      <w:i/>
    </w:rPr>
  </w:style>
  <w:style w:type="character" w:styleId="686" w:customStyle="1">
    <w:name w:val="Header Char"/>
    <w:link w:val="655"/>
    <w:uiPriority w:val="99"/>
    <w:qFormat/>
  </w:style>
  <w:style w:type="character" w:styleId="687" w:customStyle="1">
    <w:name w:val="Footer Char"/>
    <w:link w:val="654"/>
    <w:uiPriority w:val="99"/>
    <w:qFormat/>
  </w:style>
  <w:style w:type="character" w:styleId="688" w:customStyle="1">
    <w:name w:val="Caption Char"/>
    <w:link w:val="654"/>
    <w:uiPriority w:val="99"/>
    <w:qFormat/>
  </w:style>
  <w:style w:type="table" w:styleId="6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4" w:customStyle="1">
    <w:name w:val="Footnote Text Char"/>
    <w:link w:val="659"/>
    <w:uiPriority w:val="99"/>
    <w:qFormat/>
    <w:rPr>
      <w:sz w:val="18"/>
    </w:rPr>
  </w:style>
  <w:style w:type="character" w:styleId="815" w:customStyle="1">
    <w:name w:val="Endnote Text Char"/>
    <w:link w:val="653"/>
    <w:uiPriority w:val="99"/>
    <w:qFormat/>
    <w:rPr>
      <w:sz w:val="20"/>
    </w:rPr>
  </w:style>
  <w:style w:type="paragraph" w:styleId="816" w:customStyle="1">
    <w:name w:val="TOC Heading"/>
    <w:uiPriority w:val="39"/>
    <w:unhideWhenUsed/>
    <w:qFormat/>
    <w:rPr>
      <w:sz w:val="21"/>
      <w:szCs w:val="22"/>
    </w:rPr>
  </w:style>
  <w:style w:type="numbering" w:styleId="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王雯婧 </cp:lastModifiedBy>
  <cp:revision>5</cp:revision>
  <dcterms:created xsi:type="dcterms:W3CDTF">2026-04-03T02:13:00Z</dcterms:created>
  <dcterms:modified xsi:type="dcterms:W3CDTF">2026-04-20T07:21:03Z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eyJoZGlkIjoiMDE1YmNlZGZkY2I4ZDU4NDMyMTkyMjI5YjIxYjc3YjQiLCJ1c2VySWQiOiI1ODIyNTUzOTkifQ==</vt:lpwstr>
  </property>
  <property fmtid="{D5CDD505-2E9C-101B-9397-08002B2CF9AE}" pid="3" name="KSOProductBuildVer">
    <vt:lpwstr>2052-12.1.0.25865</vt:lpwstr>
  </property>
  <property fmtid="{D5CDD505-2E9C-101B-9397-08002B2CF9AE}" pid="4" name="ICV">
    <vt:lpwstr>5A590DFF3DF14F26B149CBC5CA136FB8_13</vt:lpwstr>
  </property>
</Properties>
</file>